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77193"/>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pacing w:val="-20"/>
          <w:sz w:val="72"/>
          <w:szCs w:val="72"/>
        </w:rPr>
      </w:pPr>
      <w:bookmarkStart w:id="6" w:name="_Toc15377194"/>
      <w:bookmarkStart w:id="7" w:name="_Toc15396476"/>
      <w:bookmarkStart w:id="8" w:name="_Toc15378442"/>
      <w:bookmarkStart w:id="9" w:name="_Toc15377426"/>
      <w:bookmarkStart w:id="10" w:name="_Toc15396598"/>
      <w:r>
        <w:rPr>
          <w:rFonts w:hint="eastAsia" w:ascii="方正小标宋简体" w:hAnsi="宋体" w:eastAsia="方正小标宋简体"/>
          <w:color w:val="000000"/>
          <w:spacing w:val="-20"/>
          <w:sz w:val="72"/>
          <w:szCs w:val="72"/>
        </w:rPr>
        <w:t>广元市</w:t>
      </w:r>
      <w:bookmarkEnd w:id="0"/>
      <w:bookmarkStart w:id="11" w:name="_Toc15306268"/>
      <w:r>
        <w:rPr>
          <w:rFonts w:hint="eastAsia" w:ascii="方正小标宋简体" w:hAnsi="宋体" w:eastAsia="方正小标宋简体"/>
          <w:color w:val="000000"/>
          <w:spacing w:val="-20"/>
          <w:sz w:val="72"/>
          <w:szCs w:val="72"/>
        </w:rPr>
        <w:t>工商业联合会决算</w:t>
      </w:r>
      <w:bookmarkEnd w:id="6"/>
      <w:bookmarkEnd w:id="7"/>
      <w:bookmarkEnd w:id="8"/>
      <w:bookmarkEnd w:id="9"/>
      <w:bookmarkEnd w:id="10"/>
      <w:bookmarkEnd w:id="11"/>
    </w:p>
    <w:p>
      <w:pPr>
        <w:widowControl/>
        <w:jc w:val="left"/>
        <w:rPr>
          <w:rFonts w:ascii="方正小标宋简体" w:hAnsi="宋体" w:eastAsia="方正小标宋简体"/>
          <w:color w:val="000000"/>
          <w:spacing w:val="-20"/>
          <w:sz w:val="72"/>
          <w:szCs w:val="72"/>
        </w:rPr>
      </w:pPr>
      <w:r>
        <w:rPr>
          <w:rFonts w:ascii="方正小标宋简体" w:hAnsi="宋体" w:eastAsia="方正小标宋简体"/>
          <w:color w:val="000000"/>
          <w:spacing w:val="-20"/>
          <w:sz w:val="72"/>
          <w:szCs w:val="72"/>
        </w:rPr>
        <w:br w:type="page"/>
      </w: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w:t>
      </w:r>
      <w:r>
        <w:rPr>
          <w:rFonts w:hint="eastAsia"/>
          <w:lang w:val="en-US" w:eastAsia="zh-CN"/>
        </w:rPr>
        <w:t>20</w:t>
      </w:r>
      <w:r>
        <w:rPr>
          <w:rFonts w:hint="eastAsia"/>
        </w:rPr>
        <w:t>年</w:t>
      </w:r>
      <w:r>
        <w:t>9</w:t>
      </w:r>
      <w:r>
        <w:rPr>
          <w:rFonts w:hint="eastAsia"/>
        </w:rPr>
        <w:t>月</w:t>
      </w:r>
      <w:r>
        <w:rPr>
          <w:rFonts w:hint="eastAsia"/>
          <w:lang w:val="en-US" w:eastAsia="zh-CN"/>
        </w:rPr>
        <w:t>25</w:t>
      </w:r>
      <w:r>
        <w:rPr>
          <w:rFonts w:hint="eastAsia"/>
        </w:rPr>
        <w:t>日</w:t>
      </w:r>
    </w:p>
    <w:p>
      <w:bookmarkStart w:id="48" w:name="_GoBack"/>
      <w:bookmarkEnd w:id="48"/>
    </w:p>
    <w:p>
      <w:pPr>
        <w:pStyle w:val="10"/>
      </w:pPr>
      <w:r>
        <w:fldChar w:fldCharType="begin"/>
      </w:r>
      <w:r>
        <w:instrText xml:space="preserve"> HYPERLINK \l "_Toc15396599" </w:instrText>
      </w:r>
      <w:r>
        <w:fldChar w:fldCharType="separate"/>
      </w:r>
      <w:r>
        <w:rPr>
          <w:rStyle w:val="16"/>
          <w:rFonts w:hint="eastAsia"/>
        </w:rPr>
        <w:t>第一部分部门概况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w:t>
      </w:r>
      <w:r>
        <w:rPr>
          <w:rStyle w:val="16"/>
          <w:rFonts w:hint="eastAsia"/>
          <w:lang w:val="en-US" w:eastAsia="zh-CN"/>
        </w:rPr>
        <w:t>9</w:t>
      </w:r>
      <w:r>
        <w:rPr>
          <w:rStyle w:val="16"/>
          <w:rFonts w:hint="eastAsia"/>
        </w:rPr>
        <w:t>年度部门决算情况说明</w:t>
      </w:r>
      <w:r>
        <w:tab/>
      </w:r>
      <w:r>
        <w:fldChar w:fldCharType="begin"/>
      </w:r>
      <w:r>
        <w:instrText xml:space="preserve"> PAGEREF _Toc15396602 \h </w:instrText>
      </w:r>
      <w:r>
        <w:fldChar w:fldCharType="separate"/>
      </w:r>
      <w:r>
        <w:t>1</w:t>
      </w:r>
      <w:r>
        <w:rPr>
          <w:rFonts w:hint="eastAsia"/>
          <w:lang w:val="en-US" w:eastAsia="zh-CN"/>
        </w:rPr>
        <w:t>3</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sz w:val="28"/>
          <w:szCs w:val="28"/>
          <w:lang w:val="en-US" w:eastAsia="zh-CN"/>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sz w:val="28"/>
          <w:szCs w:val="28"/>
          <w:lang w:val="en-US" w:eastAsia="zh-CN"/>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sz w:val="28"/>
          <w:szCs w:val="28"/>
          <w:lang w:val="en-US" w:eastAsia="zh-CN"/>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eastAsia="zh-CN"/>
        </w:rPr>
      </w:pPr>
      <w:r>
        <w:fldChar w:fldCharType="begin"/>
      </w:r>
      <w:r>
        <w:instrText xml:space="preserve"> HYPERLINK \l "_Toc15396611" </w:instrText>
      </w:r>
      <w:r>
        <w:fldChar w:fldCharType="separate"/>
      </w:r>
      <w:r>
        <w:rPr>
          <w:rStyle w:val="16"/>
          <w:rFonts w:hint="eastAsia" w:ascii="仿宋" w:hAnsi="仿宋" w:eastAsia="仿宋"/>
          <w:bCs/>
          <w:sz w:val="28"/>
          <w:szCs w:val="28"/>
        </w:rPr>
        <w:t>九、</w:t>
      </w:r>
      <w:r>
        <w:rPr>
          <w:rStyle w:val="16"/>
          <w:rFonts w:ascii="仿宋" w:hAnsi="仿宋" w:eastAsia="仿宋"/>
          <w:sz w:val="28"/>
          <w:szCs w:val="28"/>
        </w:rPr>
        <w:t xml:space="preserve"> </w:t>
      </w:r>
      <w:r>
        <w:rPr>
          <w:rStyle w:val="16"/>
          <w:rFonts w:hint="eastAsia" w:ascii="仿宋" w:hAnsi="仿宋" w:eastAsia="仿宋"/>
          <w:sz w:val="28"/>
          <w:szCs w:val="28"/>
        </w:rPr>
        <w:t>国</w:t>
      </w:r>
      <w:r>
        <w:rPr>
          <w:rStyle w:val="16"/>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0"/>
        <w:rPr>
          <w:rFonts w:hint="eastAsia" w:eastAsia="仿宋"/>
          <w:lang w:val="en-US" w:eastAsia="zh-CN"/>
        </w:rPr>
      </w:pPr>
      <w:r>
        <w:fldChar w:fldCharType="begin"/>
      </w:r>
      <w:r>
        <w:instrText xml:space="preserve"> HYPERLINK \l "_Toc15396613" </w:instrText>
      </w:r>
      <w:r>
        <w:fldChar w:fldCharType="separate"/>
      </w:r>
      <w:r>
        <w:rPr>
          <w:rStyle w:val="16"/>
          <w:rFonts w:hint="eastAsia"/>
          <w:bCs/>
          <w:kern w:val="44"/>
        </w:rPr>
        <w:t>第三部分</w:t>
      </w:r>
      <w:r>
        <w:rPr>
          <w:rStyle w:val="16"/>
        </w:rPr>
        <w:t xml:space="preserve"> </w:t>
      </w:r>
      <w:r>
        <w:rPr>
          <w:rStyle w:val="16"/>
          <w:rFonts w:hint="eastAsia"/>
        </w:rPr>
        <w:t>名</w:t>
      </w:r>
      <w:r>
        <w:rPr>
          <w:rStyle w:val="16"/>
          <w:rFonts w:hint="eastAsia"/>
          <w:bCs/>
          <w:kern w:val="44"/>
        </w:rPr>
        <w:t>词解释</w:t>
      </w:r>
      <w:r>
        <w:tab/>
      </w:r>
      <w:r>
        <w:rPr>
          <w:rFonts w:hint="eastAsia"/>
          <w:lang w:val="en-US" w:eastAsia="zh-CN"/>
        </w:rPr>
        <w:t>2</w:t>
      </w:r>
      <w:r>
        <w:fldChar w:fldCharType="end"/>
      </w:r>
      <w:r>
        <w:rPr>
          <w:rFonts w:hint="eastAsia"/>
          <w:lang w:val="en-US" w:eastAsia="zh-CN"/>
        </w:rPr>
        <w:t>8</w:t>
      </w:r>
    </w:p>
    <w:p>
      <w:pPr>
        <w:pStyle w:val="10"/>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rPr>
          <w:rFonts w:hint="eastAsia"/>
          <w:lang w:val="en-US" w:eastAsia="zh-CN"/>
        </w:rPr>
        <w:t>30</w:t>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Fonts w:ascii="仿宋" w:hAnsi="仿宋" w:eastAsia="仿宋"/>
          <w:sz w:val="28"/>
          <w:szCs w:val="28"/>
        </w:rPr>
        <w:tab/>
      </w:r>
      <w:r>
        <w:rPr>
          <w:rFonts w:hint="eastAsia" w:ascii="仿宋" w:hAnsi="仿宋" w:eastAsia="仿宋"/>
          <w:sz w:val="28"/>
          <w:szCs w:val="28"/>
          <w:lang w:val="en-US" w:eastAsia="zh-CN"/>
        </w:rPr>
        <w:t>30</w:t>
      </w:r>
      <w:r>
        <w:rPr>
          <w:rFonts w:ascii="仿宋" w:hAnsi="仿宋" w:eastAsia="仿宋"/>
          <w:sz w:val="28"/>
          <w:szCs w:val="28"/>
        </w:rPr>
        <w:fldChar w:fldCharType="end"/>
      </w:r>
    </w:p>
    <w:p>
      <w:pPr>
        <w:pStyle w:val="10"/>
        <w:rPr>
          <w:rFonts w:hint="eastAsia" w:eastAsia="仿宋"/>
          <w:lang w:val="en-US" w:eastAsia="zh-CN"/>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rPr>
          <w:rFonts w:hint="eastAsia"/>
          <w:lang w:val="en-US" w:eastAsia="zh-CN"/>
        </w:rPr>
        <w:t>3</w:t>
      </w:r>
      <w:r>
        <w:fldChar w:fldCharType="end"/>
      </w:r>
      <w:r>
        <w:rPr>
          <w:rFonts w:hint="eastAsia"/>
          <w:lang w:val="en-US" w:eastAsia="zh-CN"/>
        </w:rPr>
        <w:t>7</w:t>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spacing w:line="560" w:lineRule="exact"/>
        <w:jc w:val="center"/>
        <w:rPr>
          <w:rFonts w:ascii="方正小标宋简体" w:hAnsi="宋体" w:eastAsia="方正小标宋简体"/>
          <w:color w:val="000000"/>
          <w:sz w:val="44"/>
          <w:szCs w:val="44"/>
        </w:rPr>
      </w:pPr>
      <w:r>
        <w:rPr>
          <w:rFonts w:ascii="黑体" w:hAnsi="黑体" w:eastAsia="黑体"/>
          <w:color w:val="000000"/>
          <w:sz w:val="48"/>
          <w:szCs w:val="48"/>
        </w:rPr>
        <w:fldChar w:fldCharType="end"/>
      </w:r>
      <w:r>
        <w:rPr>
          <w:rFonts w:ascii="仿宋" w:hAnsi="仿宋" w:eastAsia="仿宋"/>
          <w:b/>
          <w:sz w:val="24"/>
        </w:rPr>
        <w:br w:type="page"/>
      </w: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第一部分</w:t>
      </w:r>
      <w:r>
        <w:rPr>
          <w:rFonts w:ascii="方正小标宋简体" w:hAnsi="宋体" w:eastAsia="方正小标宋简体"/>
          <w:color w:val="000000"/>
          <w:sz w:val="44"/>
          <w:szCs w:val="44"/>
        </w:rPr>
        <w:t xml:space="preserve"> </w:t>
      </w:r>
      <w:r>
        <w:rPr>
          <w:rStyle w:val="17"/>
          <w:rFonts w:hint="eastAsia" w:ascii="黑体" w:hAnsi="黑体" w:eastAsia="黑体"/>
        </w:rPr>
        <w:t>部门概况</w:t>
      </w:r>
    </w:p>
    <w:p>
      <w:pPr>
        <w:spacing w:line="600" w:lineRule="exact"/>
        <w:jc w:val="center"/>
        <w:rPr>
          <w:sz w:val="32"/>
          <w:szCs w:val="32"/>
        </w:rPr>
      </w:pP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一、基本职能及主要工作</w:t>
      </w:r>
    </w:p>
    <w:p>
      <w:pPr>
        <w:spacing w:line="560" w:lineRule="exact"/>
        <w:ind w:firstLine="420" w:firstLineChars="200"/>
        <w:rPr>
          <w:rFonts w:ascii="仿宋" w:hAnsi="仿宋" w:eastAsia="仿宋"/>
          <w:sz w:val="32"/>
          <w:szCs w:val="32"/>
        </w:rPr>
      </w:pPr>
      <w:r>
        <w:fldChar w:fldCharType="begin"/>
      </w:r>
      <w:r>
        <w:instrText xml:space="preserve"> HYPERLINK "http://baike.so.com/doc/5373224-5609196.html" \t "_blank" </w:instrText>
      </w:r>
      <w:r>
        <w:fldChar w:fldCharType="separate"/>
      </w:r>
      <w:r>
        <w:rPr>
          <w:rFonts w:hint="eastAsia" w:ascii="仿宋" w:hAnsi="仿宋" w:eastAsia="仿宋"/>
          <w:sz w:val="32"/>
          <w:szCs w:val="32"/>
        </w:rPr>
        <w:t>工商</w:t>
      </w:r>
      <w:r>
        <w:rPr>
          <w:rFonts w:hint="eastAsia" w:ascii="仿宋" w:hAnsi="仿宋" w:eastAsia="仿宋"/>
          <w:sz w:val="32"/>
          <w:szCs w:val="32"/>
        </w:rPr>
        <w:fldChar w:fldCharType="end"/>
      </w:r>
      <w:r>
        <w:rPr>
          <w:rFonts w:hint="eastAsia" w:ascii="仿宋" w:hAnsi="仿宋" w:eastAsia="仿宋"/>
          <w:sz w:val="32"/>
          <w:szCs w:val="32"/>
        </w:rPr>
        <w:t>联是</w:t>
      </w:r>
      <w:r>
        <w:fldChar w:fldCharType="begin"/>
      </w:r>
      <w:r>
        <w:instrText xml:space="preserve"> HYPERLINK "http://baike.so.com/doc/5374830-5610887.html" \t "_blank" </w:instrText>
      </w:r>
      <w:r>
        <w:fldChar w:fldCharType="separate"/>
      </w:r>
      <w:r>
        <w:rPr>
          <w:rFonts w:hint="eastAsia" w:ascii="仿宋" w:hAnsi="仿宋" w:eastAsia="仿宋"/>
          <w:sz w:val="32"/>
          <w:szCs w:val="32"/>
        </w:rPr>
        <w:t>党</w:t>
      </w:r>
      <w:r>
        <w:rPr>
          <w:rFonts w:hint="eastAsia" w:ascii="仿宋" w:hAnsi="仿宋" w:eastAsia="仿宋"/>
          <w:sz w:val="32"/>
          <w:szCs w:val="32"/>
        </w:rPr>
        <w:fldChar w:fldCharType="end"/>
      </w:r>
      <w:r>
        <w:rPr>
          <w:rFonts w:hint="eastAsia" w:ascii="仿宋" w:hAnsi="仿宋" w:eastAsia="仿宋"/>
          <w:sz w:val="32"/>
          <w:szCs w:val="32"/>
        </w:rPr>
        <w:t>领导的由工商界组成的</w:t>
      </w:r>
      <w:r>
        <w:fldChar w:fldCharType="begin"/>
      </w:r>
      <w:r>
        <w:instrText xml:space="preserve"> HYPERLINK "http://baike.so.com/doc/6575803-6789567.html" \t "_blank" </w:instrText>
      </w:r>
      <w:r>
        <w:fldChar w:fldCharType="separate"/>
      </w:r>
      <w:r>
        <w:rPr>
          <w:rFonts w:hint="eastAsia" w:ascii="仿宋" w:hAnsi="仿宋" w:eastAsia="仿宋"/>
          <w:sz w:val="32"/>
          <w:szCs w:val="32"/>
        </w:rPr>
        <w:t>人民团体</w:t>
      </w:r>
      <w:r>
        <w:rPr>
          <w:rFonts w:hint="eastAsia" w:ascii="仿宋" w:hAnsi="仿宋" w:eastAsia="仿宋"/>
          <w:sz w:val="32"/>
          <w:szCs w:val="32"/>
        </w:rPr>
        <w:fldChar w:fldCharType="end"/>
      </w:r>
      <w:r>
        <w:rPr>
          <w:rFonts w:hint="eastAsia" w:ascii="仿宋" w:hAnsi="仿宋" w:eastAsia="仿宋"/>
          <w:sz w:val="32"/>
          <w:szCs w:val="32"/>
        </w:rPr>
        <w:t>和商会组织，是党和</w:t>
      </w:r>
      <w:r>
        <w:fldChar w:fldCharType="begin"/>
      </w:r>
      <w:r>
        <w:instrText xml:space="preserve"> HYPERLINK "http://baike.so.com/doc/3102520-3270204.html" \t "_blank" </w:instrText>
      </w:r>
      <w:r>
        <w:fldChar w:fldCharType="separate"/>
      </w:r>
      <w:r>
        <w:rPr>
          <w:rFonts w:hint="eastAsia" w:ascii="仿宋" w:hAnsi="仿宋" w:eastAsia="仿宋"/>
          <w:sz w:val="32"/>
          <w:szCs w:val="32"/>
        </w:rPr>
        <w:t>政府</w:t>
      </w:r>
      <w:r>
        <w:rPr>
          <w:rFonts w:hint="eastAsia" w:ascii="仿宋" w:hAnsi="仿宋" w:eastAsia="仿宋"/>
          <w:sz w:val="32"/>
          <w:szCs w:val="32"/>
        </w:rPr>
        <w:fldChar w:fldCharType="end"/>
      </w:r>
      <w:r>
        <w:rPr>
          <w:rFonts w:hint="eastAsia" w:ascii="仿宋" w:hAnsi="仿宋" w:eastAsia="仿宋"/>
          <w:sz w:val="32"/>
          <w:szCs w:val="32"/>
        </w:rPr>
        <w:t>联系非公有制经济人士的桥梁纽带，是政府管理非公有制经济的助手。广元市工商联是中华全国工商联的市级地方组织，成立于</w:t>
      </w:r>
      <w:r>
        <w:rPr>
          <w:rFonts w:ascii="仿宋" w:hAnsi="仿宋" w:eastAsia="仿宋"/>
          <w:sz w:val="32"/>
          <w:szCs w:val="32"/>
        </w:rPr>
        <w:t>1987</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（一）主要职能职责。</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参与市委、市政府大政方针及政治、经济、社会生活中的重要问题的政治协商，发挥民主监督作用，参政议政。</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引导会员积极参加国家经济建设，推动社会主义市场经济体制逐步完善。</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做好工商界代表人士政治安排的推荐工作。</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指导同业公会和行业商会等专业组织的工作。</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发扬自我教育的优良传统，宣传、贯彻党和国家</w:t>
      </w:r>
      <w:r>
        <w:rPr>
          <w:rFonts w:ascii="仿宋" w:hAnsi="仿宋" w:eastAsia="仿宋"/>
          <w:sz w:val="32"/>
          <w:szCs w:val="32"/>
        </w:rPr>
        <w:t xml:space="preserve">  </w:t>
      </w:r>
      <w:r>
        <w:rPr>
          <w:rFonts w:hint="eastAsia" w:ascii="仿宋" w:hAnsi="仿宋" w:eastAsia="仿宋"/>
          <w:sz w:val="32"/>
          <w:szCs w:val="32"/>
        </w:rPr>
        <w:t>的方针政策，加强和改进思想政治工作，坚持对广大会员进行团结、帮助、引导、教育，促进非公有制经济健康发展，提倡爱国、敬业、守法，提高会员素质，培养积极分子队伍。</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代表并维护会员的合法权益，反映会员的意见、要求和建议；为会员提供有关证明，协调关系，参与调解经济纠纷。</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引导会员把自身企业的发展与国家发展结合起来，把个人富裕与全体人民的共同富裕结合起来，把遵守市场规则与发扬社会主义道德结合起来，弘扬中华民族传统美德，先富帮后富，走共同富裕的道路，热心社会公益事业，积极参加扶贫光彩事业。</w:t>
      </w:r>
    </w:p>
    <w:p>
      <w:pPr>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为会员提供信，息、培训、科技、管理、法律、会计、审计、融资、咨询等服务，帮助会员改进经营管理，完善财会制度，照章纳税，提高自身素质和生产技术、产品质量等。</w:t>
      </w:r>
    </w:p>
    <w:p>
      <w:pPr>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组织会员出国、出境考察访问，举办和参加各种对内对外展销会、交易会，帮助会员开拓国内、国际市场；增进与港澳特别行政区、台湾地区和世界各国工商社团及工商经济界人士的联系和友谊，促进经济、技弋和贸易合作的发展，协助引进资金、技术、人才。</w:t>
      </w:r>
    </w:p>
    <w:p>
      <w:pPr>
        <w:spacing w:line="56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办好会办企业、事业。</w:t>
      </w:r>
    </w:p>
    <w:p>
      <w:pPr>
        <w:spacing w:line="56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承办市委、市府交办和有关部门委托的事项。</w:t>
      </w:r>
    </w:p>
    <w:p>
      <w:pPr>
        <w:spacing w:line="560" w:lineRule="exact"/>
        <w:ind w:firstLine="470" w:firstLineChars="147"/>
        <w:rPr>
          <w:rFonts w:ascii="楷体_GB2312" w:hAnsi="楷体_GB2312" w:eastAsia="楷体_GB2312" w:cs="楷体_GB2312"/>
          <w:sz w:val="32"/>
          <w:szCs w:val="32"/>
        </w:rPr>
      </w:pPr>
      <w:r>
        <w:rPr>
          <w:rFonts w:hint="eastAsia" w:ascii="楷体_GB2312" w:hAnsi="楷体_GB2312" w:eastAsia="楷体_GB2312" w:cs="楷体_GB2312"/>
          <w:sz w:val="32"/>
          <w:szCs w:val="32"/>
        </w:rPr>
        <w:t>（二）2019年重点工作完成情况。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2019年，在市委、市政府坚强领导下，在省工商联和市委统战部指导下，市工商联紧扣“两个健康”主题，围绕中心、服务大局，彰显特色、创新服务，各项工作取得显著成效。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一、提高政治站位，教育引导成效显著</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（一）理想信念教育持续深入。</w:t>
      </w:r>
      <w:r>
        <w:rPr>
          <w:rFonts w:hint="eastAsia" w:ascii="仿宋_GB2312" w:eastAsia="仿宋_GB2312"/>
          <w:sz w:val="32"/>
          <w:szCs w:val="32"/>
        </w:rPr>
        <w:t>深入学习习近平新时代中国特色社会主义思想，认真贯彻习近平总书记在民营企业座谈会上的重要讲话精神，坚持“守法诚信经营、坚定发展信心”教育重点，全面加强非公经济人士思想政治工作。深入贯彻落实省、市民营经济健康发展大会精神，举办专题讲座5期，向全市民营企业家发出《不忘初心，争做新时代四个表率》倡议书，组织青年企业家参加全省工商联系统纪念“五四运动”100周年征文活动，召开非公经济人士庆祝新中国成立70周年座谈会，参观木门军事会议会址、旺苍红军城，组织民营企业商协会唱红歌、拍摄“我和我的祖国”快闪视频并获全市宣传系统优秀奖，创新拓展理想信念教育，以信仰铸魂，用故事讲理，凭事实说话，进一步增强了企业家听党话、跟党走的使命感和责任感。</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（二）企业家素质得到新提升。</w:t>
      </w:r>
      <w:r>
        <w:rPr>
          <w:rFonts w:hint="eastAsia" w:ascii="仿宋_GB2312" w:eastAsia="仿宋_GB2312"/>
          <w:sz w:val="32"/>
          <w:szCs w:val="32"/>
        </w:rPr>
        <w:t>为给民营企业发展提供有效智力支持和人才保障，尝试与社会办学机构合作，依托广元格局商学院建立“广元市工商联民营企业家培训基地”，市委常委、组织部长、统战部部长、市总工会主席王岩辞出席授牌仪式，目前已组织开展远程培训8期。举办民营企业金融保险、财务税费政策解读等专题培训讲座10期，培训企业家及高管人才2000余人次。组织50余名民营企业家参加浙大、西南财大、台州市委党校“企业转型升级、商协会党建”等提能培训。注重德政建设，做好代表人士政治安排推荐，对4批次11名非公经济代表人士进行综合评价，推荐市政协委员1名。</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（三）履行社会责任成为时代新风。</w:t>
      </w:r>
      <w:r>
        <w:rPr>
          <w:rFonts w:hint="eastAsia" w:ascii="仿宋_GB2312" w:eastAsia="仿宋_GB2312"/>
          <w:sz w:val="32"/>
          <w:szCs w:val="32"/>
        </w:rPr>
        <w:t>积极引导民营企业担当社会责任，通过多种方式助贫、助残、助学、助就业等活动上百次，弘扬光彩精神，彰显企业家高尚情操。永隆集团、广元万贯、恒昌建筑、钰盟光电、广信置业及女企业家商会、宁波广元商会等向困难群体捐款捐物超过500万元。四川永隆集团连续15年发放“永隆慈善助学金”，广元温州商会携手温州大学连续10年举办“温蜀夏令营”，广元万贯开展“广元万贯、放飞希望”光彩行动，表彰奖励最美乡村教师，持续助学农村希望工程。昭化工商联组织百名民营企业家参加“不忘初心、匠新同行”龙泉百名剑瓷工艺师助力东西部扶贫协作爱心捐赠作品拍卖会，拍出剑瓷作品80余件，93万元拍款全部用于教育扶贫事业。粮贸超市携手阿道夫护理用品公司开展义卖活动，每销售一份产品提取10元，为环卫工人、消防官兵筹集公益基金。市质量品牌协会发起向宜宾地震灾区捐款活动，受到社会各界好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二、增强大局意识，议政建言成果丰硕</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（一）调研工作持续深化。</w:t>
      </w:r>
      <w:r>
        <w:rPr>
          <w:rFonts w:hint="eastAsia" w:ascii="仿宋_GB2312" w:eastAsia="仿宋_GB2312"/>
          <w:sz w:val="32"/>
          <w:szCs w:val="32"/>
        </w:rPr>
        <w:t xml:space="preserve">一是坚持规范化选择样本、层级化运行管理、制度化监测应用，扎实做好民营企业调查点工作，填报准确率达90％以上。6月，全省工商联系统民营企业调查点工作培训会在我市召开，来自全国工商联，河北、广东、江苏等省级工商联和省内市州代表近100人参会。我会被全国工商联和省工商联评为“民营企业调查点工作示范单位”，四川百夫长清真饮品公司被授予“全国民营企业调查点工作示范企业”。二是认真组织开展专项调研工作。参与完成拖欠民营企业账款、培育壮大文化旅游企业、民营企业“一带一路”调查等10个调研任务，配合省工商联开展省“民营经济20条”贯彻落实情况等专题调研任务。三是提炼调研成果。结合我市民营经济、商协会发展实际，会领导班子成员牵头负责1至2个调研课题，围绕企业文化建设、经济类商协会发展、乡村振兴课题等深入走访调研，召开座谈会，摸情况提对策，全市工商联系统形成广元市民营经济发展报告、壮大县域民营经济夯实经济发展基础等理论调研文章21篇，调研报告《新时代发挥民营企业党组织核心领导作用的探索与实践》《发挥商协会作用，助推广元经济高质量发展》被《新蜀商》刊载。 </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（二）参政议政作用更加突出。</w:t>
      </w:r>
      <w:r>
        <w:rPr>
          <w:rFonts w:hint="eastAsia" w:ascii="仿宋_GB2312" w:eastAsia="仿宋_GB2312"/>
          <w:sz w:val="32"/>
          <w:szCs w:val="32"/>
        </w:rPr>
        <w:t>充分发挥总商会咨询委员会及专家学者、商会知名人士、工商联老领导咨询议事作用。积极引导非公经济代表人士紧紧围绕我市“三个一、三个三”兴广战略建言献策。“两会”期间，工商联界别人大代表、政协委员向省市人大、政协提交建议9件、提案32件，其中：团体提案2件，《关于成立民营企业转贷基金中心的建议》被确定为全市政协系统“十大重点督办提案”。在全市政协全委上的大会发言《关于进一步鼓励支持民营企业参与乡村振兴的建议》《关于进一步加强民营企业家队伍建设的建议》获市委王菲书记批示。在《领导交办事项办理及反馈报告》上，邹自景市长对市工商联反映民营经济发展相关问题作出批示。全年向省工商联上报社情民意24条、党外人士建议12条，团体提案4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三、助力经济建设，服务“三大主战场”成效凸显</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（一）助力项目投资成效显著。</w:t>
      </w:r>
      <w:r>
        <w:rPr>
          <w:rFonts w:hint="eastAsia" w:ascii="仿宋_GB2312" w:eastAsia="仿宋_GB2312"/>
          <w:sz w:val="32"/>
          <w:szCs w:val="32"/>
        </w:rPr>
        <w:t>一是走出去宣传推介。会领导多次带队外出考察，走访商会企业，推介我市投资环境和重点项目。组织女企业家商会赴中东考察，广汇公司参加南宁“驻外使领馆与民营企业面对面交流”活动，唯鸿生物科技公司等参加省工商联“一带一路”培训会，副会长企业百夫长公司已在阿曼建立广元馆，10多种产品打入中东市场，成为参与“一带一路”建设典型。组织县区工商联和市建筑协会、五金机电家电协会等8家商协会和70余企业家，赴汉中、天水、西安、济南等地考察，学习商会创新、平台建设和人才培养经验，对接达成多项合作意向。二是请进来考察投资。邀请昆仑燃气四川分公司来广考察智慧能源运营管理项目，一期投资10亿元。邀请四川圣桦集团和江西客商来广考察康养、柚茶、石材等项目，达成投资意向。举办民营企业旺苍行活动，参与承办中国独角兽商机共享大会。三是促进项目投资落地。协调劳特巴赫精酿啤酒公司与投资商、销售商顺利合作，5月已正式投产；争取上海世茂集团做好对援助项目“世茂爱心医院”回访，实施多元化医疗援助；淼汇置业与香港万汇城百货合作升级城南时代广场即将开业；协助川陕甘五金机电广元万贯采购节，成交3.8亿元。一年来，全市工商联系统开展招商引资活动40余次，招商引资到位6.99亿元，其中市联招商引资到位1.35亿元，签约亿元以上项目1个，直接争取社会资金105万元，超额完成目标任务。四川龙申建设成功进入四川百强民营企业名录。</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（二）助力脱贫攻坚有了新突破。</w:t>
      </w:r>
      <w:r>
        <w:rPr>
          <w:rFonts w:hint="eastAsia" w:ascii="仿宋_GB2312" w:eastAsia="仿宋_GB2312"/>
          <w:sz w:val="32"/>
          <w:szCs w:val="32"/>
        </w:rPr>
        <w:t>一是深入推进“万企帮万村”精准扶贫。组织三禾农业等5家企业负责人赴眉山、乐山等地考察帮村扶贫经验，引导企业以产业扶贫、消费扶贫等方式参与帮扶工作。组织30家企业参加10月17日扶贫日主题活动，市裕鑫农业开发公司、天盛德科技公司获全市脱贫攻坚贡献奖，被市委市政府表彰。促成天九共享集团捐资100万元，用于贫困村产业发展。截止11月底，全市564家民营企业结对帮扶403个贫困村，实施帮扶项目1058个，直接投入帮扶资金（含物资）共计4.08亿元，惠及贫困人口7.5万余人。二是深化东西部扶贫协作。加强与浙江省工商联、四川省浙江商会深入对接、广泛合作。市工商联赴浙江对接2次，浙江有关县区到广元对接8次，其中浙江丽水市工商联来广考察，捐赠帮扶资金5万元。截至11月底，共有20批、142家次企业到广考察；173家东部企业与200个贫困村、10 家商协会与 12 个贫困村，村企及社会组织244 对，开展结对帮扶工作，捐款捐物8854万元；41家企业开展产业扶贫，总投资30余亿元。三是抓好机关帮村扶贫工作。调整充实驻村帮扶力量，积极补齐工作短板，持续开展“三同”活动，加强政策宣传引导，解决贫困户实际困难，苍溪月山乡凉水村、花冠村脱贫攻坚已通过省级验收。</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（三）助力民营经济高质量发展实现新业绩。</w:t>
      </w:r>
      <w:r>
        <w:rPr>
          <w:rFonts w:hint="eastAsia" w:ascii="仿宋_GB2312" w:eastAsia="仿宋_GB2312"/>
          <w:sz w:val="32"/>
          <w:szCs w:val="32"/>
        </w:rPr>
        <w:t>精心组织、全力做好全市民营经济健康发展大会各项筹备工作。市工商联被市委市政府评为促进民营经济发展先进单位，多个企业和非公经济代表人士受到党委政府表彰。市工商联认真贯彻会议精神，促进惠企政策落实。一是化解企业融资难题。与人民银行广元中心签定战略合作协议，与多个银行对接，举办失业保险惠企政策及融资政策培训会，制作发放《金融服务小微企业政策及产品手册》，助力小微企业融资。二是化解用工难题。积极推动“三方四家”构建和谐劳动关系，广元娃哈哈公司获得人社部表彰。组织天恒地产等15家会员企业参与“就业扶贫”招聘会，通过招聘QQ群、招聘网开展快捷招聘，为企业解难政府分忧。三是化解法律维权难题。市、县两级工商联全部建立商会人民调解委员会，组织开展法律进商会、进企业活动60余次，举办民营企业政策法规培训4期。与市检察院建立五大沟通协调机制（联席会议制度、调研宣传培训制度、民主监督制度、检察监督制度、信息共享制度），印发《关于建立健全检察机关与工商联沟通联系机制的意见》，举办“检察护航民企发展”座谈会、检察开放日活动；联合市司法局对天为集团等7家企业针对性开展“法律体检”；调查收集江西商会及会员在用地用工、产品营销、环保涉诉、经济纠纷等方面问题60余件，现已协调化解50余件，有力维护了企业员工合法权益，促进了社会和谐稳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四、推进商会改革，组织建设基础日益夯实</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（一）商协会建设稳步推进。</w:t>
      </w:r>
      <w:r>
        <w:rPr>
          <w:rFonts w:hint="eastAsia" w:ascii="仿宋_GB2312" w:eastAsia="仿宋_GB2312"/>
          <w:sz w:val="32"/>
          <w:szCs w:val="32"/>
        </w:rPr>
        <w:t>一是做好商协会建设工作。出台《工商联所属商会管理办法（试行）》。全市新建商会6个，正筹建商会4个。市工商联指导成立陕西省四川广元商会、山东广元商会和广元市家居产业协会，广元福建商会、市五交化机电家电协会圆满换届。市工商联与天水市工商联、甘孜州工商联结为友好商会。黄猫垭商会被评为全国“四好”商会。二是大力推进商协会改革。认真贯彻落实四川省促进工商联所属商会改革发展会议精神，对全市251个经济领域行业协会商会调查摸底，形成《广元市促进工商联所属商会改革和发展的实施方案（征求意见稿）》，已征求13个部门意见建议。多措并举规范管理商协会，已新纳入市工商联3个，规范换届2个，配合市民政局清理整顿19个，部分给予撤销登记。积极推进直属商会党建工作，指导商协会建立党组织，发挥党组织核心作用。市工商联直属商协会联合党委获组织部批准，即将成立；获市委批准增加内设机构“直属商协会党建工作部”，解决科级领导职数2名。</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（二）会员管理逐步规范化。</w:t>
      </w:r>
      <w:r>
        <w:rPr>
          <w:rFonts w:hint="eastAsia" w:ascii="仿宋_GB2312" w:eastAsia="仿宋_GB2312"/>
          <w:sz w:val="32"/>
          <w:szCs w:val="32"/>
        </w:rPr>
        <w:t>完善《会员管理及各项制度暂行规定》等制度，实行会员动态管理。制定《广元市工商联会员发展规划（2020—2024年）》。全市共发展新会员182个（其中市直属会员12个，团体会员6个），积极推进“网上工商联”建设，市本级和7个县区全部完成组织信息系统录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五、推进“三转”实践活动，自身建设切实加强</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（一）班子建设得到强化。</w:t>
      </w:r>
      <w:r>
        <w:rPr>
          <w:rFonts w:hint="eastAsia" w:ascii="仿宋_GB2312" w:eastAsia="仿宋_GB2312"/>
          <w:sz w:val="32"/>
          <w:szCs w:val="32"/>
        </w:rPr>
        <w:t>对班子成员进行调整优化，按程序免去副会长1人、执委2人，新增补副主席1人、副会长2人、常委7人、执委17人。实施兼职会领导年度述职制度、机关轮值制度，促进兼职会领导履行职责，切实发挥作用。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（二）舆论宣传氛围浓厚。</w:t>
      </w:r>
      <w:r>
        <w:rPr>
          <w:rFonts w:hint="eastAsia" w:ascii="仿宋_GB2312" w:eastAsia="仿宋_GB2312"/>
          <w:sz w:val="32"/>
          <w:szCs w:val="32"/>
        </w:rPr>
        <w:t>充分利用工商联网站、会刊，政协和统战宣传平台，向企业宣传党的方针政策、解读相关政策，宣传民营企业先进典型，讲好工商联故事，营造企业健康发展的舆论氛围。全年报送各类信息400余篇（条），其中省级以上采用100篇（条），《川陕甘乡村振兴行业高峰论坛在广元举行》被全国工商联“工商动态”刊发，《广元日报》、《广元新闻网》采用稿件25篇，市政协、市委统战部采用100余篇（条），排全市政协系统第一，编发内刊《广元商汇》3期、800册。</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（三）从严治党扎实推进。</w:t>
      </w:r>
      <w:r>
        <w:rPr>
          <w:rFonts w:hint="eastAsia" w:ascii="仿宋_GB2312" w:eastAsia="仿宋_GB2312"/>
          <w:sz w:val="32"/>
          <w:szCs w:val="32"/>
        </w:rPr>
        <w:t>结合全省工商联系统“转职能、转方式、转作风”实践活动要求，坚持把党的政治建设摆在首位，强化目标导向，深化作风建设，开展“九大专项”整治，健全会领导、干部职工联系商协会企业制度，进企问需纳诉求，提升工作质效，市工商联走访近200家次，协调解决经营难题20余个，班子成员联系指导县区工商联工作，深入县区调研指导，苍溪县、利州区等5个县区工商联被确认为全国“五好县级工商联”。认真开展“不忘初心、牢记使命”主题教育，聚焦主题主线，严实学习教育，走基层查民情，建立问题清单，修订完善制度管理，构建长效工作机制，机关干部主动服务、精准服务意识明显增强，工商联凝聚力、影响力和执行力显著提高。</w:t>
      </w:r>
    </w:p>
    <w:p>
      <w:pPr>
        <w:pStyle w:val="12"/>
        <w:spacing w:after="0" w:line="56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二、机构设置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广元市工商业联合会是一级预算单位，无下属二级单位。</w:t>
      </w:r>
    </w:p>
    <w:p>
      <w:pPr>
        <w:pStyle w:val="2"/>
        <w:ind w:right="440"/>
        <w:jc w:val="right"/>
        <w:rPr>
          <w:rStyle w:val="17"/>
          <w:rFonts w:ascii="黑体" w:hAnsi="黑体" w:eastAsia="黑体"/>
          <w:b w:val="0"/>
          <w:bCs w:val="0"/>
        </w:rPr>
      </w:pPr>
      <w:bookmarkStart w:id="12" w:name="_Toc15377204"/>
      <w:bookmarkStart w:id="13" w:name="_Toc15396602"/>
      <w:r>
        <w:rPr>
          <w:rFonts w:hint="eastAsia" w:ascii="黑体" w:hAnsi="黑体" w:eastAsia="黑体"/>
          <w:b w:val="0"/>
          <w:color w:val="000000"/>
        </w:rPr>
        <w:t>第二部分</w:t>
      </w:r>
      <w:r>
        <w:rPr>
          <w:rStyle w:val="17"/>
          <w:rFonts w:ascii="黑体" w:hAnsi="黑体" w:eastAsia="黑体"/>
          <w:b w:val="0"/>
          <w:bCs w:val="0"/>
        </w:rPr>
        <w:t>201</w:t>
      </w:r>
      <w:r>
        <w:rPr>
          <w:rStyle w:val="17"/>
          <w:rFonts w:hint="eastAsia" w:ascii="黑体" w:hAnsi="黑体" w:eastAsia="黑体"/>
          <w:b w:val="0"/>
          <w:bCs w:val="0"/>
        </w:rPr>
        <w:t>9年度部门决算情况说明</w:t>
      </w:r>
      <w:bookmarkEnd w:id="12"/>
      <w:bookmarkEnd w:id="13"/>
    </w:p>
    <w:p>
      <w:pPr>
        <w:pStyle w:val="12"/>
        <w:spacing w:after="0" w:line="56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一、</w:t>
      </w:r>
      <w:bookmarkStart w:id="14" w:name="_Toc15396603"/>
      <w:bookmarkStart w:id="15" w:name="_Toc15377205"/>
      <w:r>
        <w:rPr>
          <w:rFonts w:hint="eastAsia" w:ascii="黑体" w:hAnsi="黑体" w:eastAsia="黑体"/>
          <w:b/>
          <w:color w:val="000000"/>
          <w:sz w:val="32"/>
          <w:szCs w:val="32"/>
        </w:rPr>
        <w:t>收入支出决算总体情况说明</w:t>
      </w:r>
      <w:bookmarkEnd w:id="14"/>
      <w:bookmarkEnd w:id="1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9年度市工商联收、支总计321.3万元。与</w:t>
      </w:r>
      <w:r>
        <w:rPr>
          <w:rFonts w:ascii="仿宋" w:hAnsi="仿宋" w:eastAsia="仿宋"/>
          <w:sz w:val="32"/>
          <w:szCs w:val="32"/>
        </w:rPr>
        <w:t>201</w:t>
      </w:r>
      <w:r>
        <w:rPr>
          <w:rFonts w:hint="eastAsia" w:ascii="仿宋" w:hAnsi="仿宋" w:eastAsia="仿宋"/>
          <w:sz w:val="32"/>
          <w:szCs w:val="32"/>
        </w:rPr>
        <w:t>8年相比，收、支总计各减少117.71万元，减少26.8</w:t>
      </w:r>
      <w:r>
        <w:rPr>
          <w:rFonts w:ascii="仿宋" w:hAnsi="仿宋" w:eastAsia="仿宋"/>
          <w:sz w:val="32"/>
          <w:szCs w:val="32"/>
        </w:rPr>
        <w:t>%</w:t>
      </w:r>
      <w:r>
        <w:rPr>
          <w:rFonts w:hint="eastAsia" w:ascii="仿宋" w:hAnsi="仿宋" w:eastAsia="仿宋"/>
          <w:sz w:val="32"/>
          <w:szCs w:val="32"/>
        </w:rPr>
        <w:t>。主要变动原因是</w:t>
      </w:r>
      <w:r>
        <w:rPr>
          <w:rFonts w:ascii="仿宋" w:hAnsi="仿宋" w:eastAsia="仿宋"/>
          <w:sz w:val="32"/>
          <w:szCs w:val="32"/>
        </w:rPr>
        <w:t>2017</w:t>
      </w:r>
      <w:r>
        <w:rPr>
          <w:rFonts w:hint="eastAsia" w:ascii="仿宋" w:hAnsi="仿宋" w:eastAsia="仿宋"/>
          <w:sz w:val="32"/>
          <w:szCs w:val="32"/>
        </w:rPr>
        <w:t>年年底的人员经费结转到了</w:t>
      </w:r>
      <w:r>
        <w:rPr>
          <w:rFonts w:ascii="仿宋" w:hAnsi="仿宋" w:eastAsia="仿宋"/>
          <w:sz w:val="32"/>
          <w:szCs w:val="32"/>
        </w:rPr>
        <w:t>2018</w:t>
      </w:r>
      <w:r>
        <w:rPr>
          <w:rFonts w:hint="eastAsia" w:ascii="仿宋" w:hAnsi="仿宋" w:eastAsia="仿宋"/>
          <w:sz w:val="32"/>
          <w:szCs w:val="32"/>
        </w:rPr>
        <w:t>年及2018年单位办公楼搬迁财政拨付了专项修缮费用。</w:t>
      </w:r>
    </w:p>
    <w:p>
      <w:pPr>
        <w:pStyle w:val="12"/>
        <w:spacing w:after="0" w:line="560" w:lineRule="exact"/>
        <w:ind w:firstLine="643" w:firstLineChars="200"/>
        <w:rPr>
          <w:rFonts w:ascii="黑体" w:hAnsi="黑体" w:eastAsia="黑体"/>
          <w:b/>
          <w:color w:val="000000"/>
          <w:sz w:val="32"/>
          <w:szCs w:val="32"/>
        </w:rPr>
      </w:pPr>
      <w:bookmarkStart w:id="16" w:name="_Toc15396604"/>
      <w:bookmarkStart w:id="17" w:name="_Toc15377206"/>
      <w:r>
        <w:rPr>
          <w:rFonts w:hint="eastAsia" w:ascii="黑体" w:hAnsi="黑体" w:eastAsia="黑体"/>
          <w:b/>
          <w:color w:val="000000"/>
          <w:sz w:val="32"/>
          <w:szCs w:val="32"/>
        </w:rPr>
        <w:t>二、收入决算情况说明</w:t>
      </w:r>
      <w:bookmarkEnd w:id="16"/>
      <w:bookmarkEnd w:id="1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9年本年收入合计321.3万元，其中：一般公共预算财政拨款收入321.3万元，占</w:t>
      </w:r>
      <w:r>
        <w:rPr>
          <w:rFonts w:ascii="仿宋" w:hAnsi="仿宋" w:eastAsia="仿宋"/>
          <w:sz w:val="32"/>
          <w:szCs w:val="32"/>
        </w:rPr>
        <w:t>100%</w:t>
      </w:r>
      <w:r>
        <w:rPr>
          <w:rFonts w:hint="eastAsia" w:ascii="仿宋" w:hAnsi="仿宋" w:eastAsia="仿宋"/>
          <w:sz w:val="32"/>
          <w:szCs w:val="32"/>
        </w:rPr>
        <w:t>。</w:t>
      </w:r>
    </w:p>
    <w:p>
      <w:pPr>
        <w:pStyle w:val="12"/>
        <w:spacing w:after="0" w:line="560" w:lineRule="exact"/>
        <w:ind w:firstLine="643" w:firstLineChars="200"/>
        <w:rPr>
          <w:rFonts w:ascii="黑体" w:hAnsi="黑体" w:eastAsia="黑体"/>
          <w:b/>
          <w:color w:val="000000"/>
          <w:sz w:val="32"/>
          <w:szCs w:val="32"/>
        </w:rPr>
      </w:pPr>
      <w:bookmarkStart w:id="18" w:name="_Toc15377207"/>
      <w:bookmarkStart w:id="19" w:name="_Toc15396605"/>
      <w:r>
        <w:rPr>
          <w:rFonts w:hint="eastAsia" w:ascii="黑体" w:hAnsi="黑体" w:eastAsia="黑体"/>
          <w:b/>
          <w:color w:val="000000"/>
          <w:sz w:val="32"/>
          <w:szCs w:val="32"/>
        </w:rPr>
        <w:t>三、支出决算情况说明</w:t>
      </w:r>
      <w:bookmarkEnd w:id="18"/>
      <w:bookmarkEnd w:id="1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9年本年支出合计318.12万元，其中：基本支出291.12万元，占92</w:t>
      </w:r>
      <w:r>
        <w:rPr>
          <w:rFonts w:ascii="仿宋" w:hAnsi="仿宋" w:eastAsia="仿宋"/>
          <w:sz w:val="32"/>
          <w:szCs w:val="32"/>
        </w:rPr>
        <w:t>%</w:t>
      </w:r>
      <w:r>
        <w:rPr>
          <w:rFonts w:hint="eastAsia" w:ascii="仿宋" w:hAnsi="仿宋" w:eastAsia="仿宋"/>
          <w:sz w:val="32"/>
          <w:szCs w:val="32"/>
        </w:rPr>
        <w:t>；项目支出27万元，占8</w:t>
      </w:r>
      <w:r>
        <w:rPr>
          <w:rFonts w:ascii="仿宋" w:hAnsi="仿宋" w:eastAsia="仿宋"/>
          <w:sz w:val="32"/>
          <w:szCs w:val="32"/>
        </w:rPr>
        <w:t>%</w:t>
      </w:r>
      <w:r>
        <w:rPr>
          <w:rFonts w:hint="eastAsia" w:ascii="仿宋" w:hAnsi="仿宋" w:eastAsia="仿宋"/>
          <w:sz w:val="32"/>
          <w:szCs w:val="32"/>
        </w:rPr>
        <w:t>。</w:t>
      </w:r>
    </w:p>
    <w:p>
      <w:pPr>
        <w:pStyle w:val="12"/>
        <w:spacing w:after="0" w:line="56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四、财政拨款收入支出决算总体情况说明</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9年财政拨款收入总计321.3万元。与</w:t>
      </w:r>
      <w:r>
        <w:rPr>
          <w:rFonts w:ascii="仿宋" w:hAnsi="仿宋" w:eastAsia="仿宋"/>
          <w:sz w:val="32"/>
          <w:szCs w:val="32"/>
        </w:rPr>
        <w:t>201</w:t>
      </w:r>
      <w:r>
        <w:rPr>
          <w:rFonts w:hint="eastAsia" w:ascii="仿宋" w:hAnsi="仿宋" w:eastAsia="仿宋"/>
          <w:sz w:val="32"/>
          <w:szCs w:val="32"/>
        </w:rPr>
        <w:t>8年相比，财政拨款收入总计减少117.71万元，减少26.8</w:t>
      </w:r>
      <w:r>
        <w:rPr>
          <w:rFonts w:ascii="仿宋" w:hAnsi="仿宋" w:eastAsia="仿宋"/>
          <w:sz w:val="32"/>
          <w:szCs w:val="32"/>
        </w:rPr>
        <w:t>%</w:t>
      </w:r>
      <w:r>
        <w:rPr>
          <w:rFonts w:hint="eastAsia" w:ascii="仿宋" w:hAnsi="仿宋" w:eastAsia="仿宋"/>
          <w:sz w:val="32"/>
          <w:szCs w:val="32"/>
        </w:rPr>
        <w:t>。主要</w:t>
      </w:r>
      <w:r>
        <w:rPr>
          <w:rFonts w:hint="eastAsia" w:ascii="仿宋" w:hAnsi="仿宋" w:eastAsia="仿宋"/>
          <w:color w:val="000000"/>
          <w:sz w:val="32"/>
          <w:szCs w:val="32"/>
        </w:rPr>
        <w:t>变动原因是</w:t>
      </w:r>
      <w:r>
        <w:rPr>
          <w:rFonts w:ascii="仿宋" w:hAnsi="仿宋" w:eastAsia="仿宋"/>
          <w:color w:val="000000"/>
          <w:sz w:val="32"/>
          <w:szCs w:val="32"/>
        </w:rPr>
        <w:t>2017</w:t>
      </w:r>
      <w:r>
        <w:rPr>
          <w:rFonts w:hint="eastAsia" w:ascii="仿宋" w:hAnsi="仿宋" w:eastAsia="仿宋"/>
          <w:color w:val="000000"/>
          <w:sz w:val="32"/>
          <w:szCs w:val="32"/>
        </w:rPr>
        <w:t>年人员经费（具体为财政拨付的年终奖未在</w:t>
      </w:r>
      <w:r>
        <w:rPr>
          <w:rFonts w:ascii="仿宋" w:hAnsi="仿宋" w:eastAsia="仿宋"/>
          <w:color w:val="000000"/>
          <w:sz w:val="32"/>
          <w:szCs w:val="32"/>
        </w:rPr>
        <w:t>2017</w:t>
      </w:r>
      <w:r>
        <w:rPr>
          <w:rFonts w:hint="eastAsia" w:ascii="仿宋" w:hAnsi="仿宋" w:eastAsia="仿宋"/>
          <w:color w:val="000000"/>
          <w:sz w:val="32"/>
          <w:szCs w:val="32"/>
        </w:rPr>
        <w:t>年发放）结转到了</w:t>
      </w:r>
      <w:r>
        <w:rPr>
          <w:rFonts w:ascii="仿宋" w:hAnsi="仿宋" w:eastAsia="仿宋"/>
          <w:color w:val="000000"/>
          <w:sz w:val="32"/>
          <w:szCs w:val="32"/>
        </w:rPr>
        <w:t>2018</w:t>
      </w:r>
      <w:r>
        <w:rPr>
          <w:rFonts w:hint="eastAsia" w:ascii="仿宋" w:hAnsi="仿宋" w:eastAsia="仿宋"/>
          <w:color w:val="000000"/>
          <w:sz w:val="32"/>
          <w:szCs w:val="32"/>
        </w:rPr>
        <w:t>年；以及2018年因</w:t>
      </w:r>
      <w:r>
        <w:rPr>
          <w:rFonts w:hint="eastAsia" w:ascii="仿宋" w:hAnsi="仿宋" w:eastAsia="仿宋"/>
          <w:sz w:val="32"/>
          <w:szCs w:val="32"/>
        </w:rPr>
        <w:t>单位办公楼搬迁财政拨付了专项修缮费用。</w:t>
      </w:r>
    </w:p>
    <w:p>
      <w:pPr>
        <w:pStyle w:val="12"/>
        <w:spacing w:after="0" w:line="56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五、一般公共预算财政拨款支出决算情况说明</w:t>
      </w:r>
    </w:p>
    <w:p>
      <w:pPr>
        <w:spacing w:line="600" w:lineRule="exact"/>
        <w:ind w:firstLine="643" w:firstLineChars="200"/>
        <w:outlineLvl w:val="2"/>
        <w:rPr>
          <w:rFonts w:ascii="仿宋" w:hAnsi="仿宋" w:eastAsia="仿宋"/>
          <w:b/>
          <w:color w:val="000000"/>
          <w:sz w:val="32"/>
          <w:szCs w:val="32"/>
        </w:rPr>
      </w:pPr>
      <w:bookmarkStart w:id="20" w:name="_Toc15377210"/>
      <w:r>
        <w:rPr>
          <w:rFonts w:hint="eastAsia" w:ascii="仿宋" w:hAnsi="仿宋" w:eastAsia="仿宋"/>
          <w:b/>
          <w:color w:val="000000"/>
          <w:sz w:val="32"/>
          <w:szCs w:val="32"/>
        </w:rPr>
        <w:t>（一）一般公共预算财政拨款支出决算总体情况</w:t>
      </w:r>
      <w:bookmarkEnd w:id="20"/>
    </w:p>
    <w:p>
      <w:pPr>
        <w:spacing w:line="600" w:lineRule="exact"/>
        <w:ind w:firstLine="640" w:firstLineChars="200"/>
        <w:outlineLvl w:val="1"/>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9年一般公共预算财政拨款支出318.12万元，占本年支出合计的100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8年相比，一般公共预算财政拨款减少117.71万元，减少26.8</w:t>
      </w:r>
      <w:r>
        <w:rPr>
          <w:rFonts w:ascii="仿宋" w:hAnsi="仿宋" w:eastAsia="仿宋"/>
          <w:color w:val="000000"/>
          <w:sz w:val="32"/>
          <w:szCs w:val="32"/>
        </w:rPr>
        <w:t xml:space="preserve"> %</w:t>
      </w:r>
      <w:r>
        <w:rPr>
          <w:rFonts w:hint="eastAsia" w:ascii="仿宋" w:hAnsi="仿宋" w:eastAsia="仿宋"/>
          <w:color w:val="000000"/>
          <w:sz w:val="32"/>
          <w:szCs w:val="32"/>
        </w:rPr>
        <w:t>。</w:t>
      </w:r>
      <w:bookmarkStart w:id="21" w:name="_Toc15377211"/>
      <w:r>
        <w:rPr>
          <w:rFonts w:hint="eastAsia" w:ascii="仿宋" w:hAnsi="仿宋" w:eastAsia="仿宋"/>
          <w:sz w:val="32"/>
          <w:szCs w:val="32"/>
        </w:rPr>
        <w:t>主要</w:t>
      </w:r>
      <w:r>
        <w:rPr>
          <w:rFonts w:hint="eastAsia" w:ascii="仿宋" w:hAnsi="仿宋" w:eastAsia="仿宋"/>
          <w:color w:val="000000"/>
          <w:sz w:val="32"/>
          <w:szCs w:val="32"/>
        </w:rPr>
        <w:t>变动原因是</w:t>
      </w:r>
      <w:r>
        <w:rPr>
          <w:rFonts w:ascii="仿宋" w:hAnsi="仿宋" w:eastAsia="仿宋"/>
          <w:color w:val="000000"/>
          <w:sz w:val="32"/>
          <w:szCs w:val="32"/>
        </w:rPr>
        <w:t>2017</w:t>
      </w:r>
      <w:r>
        <w:rPr>
          <w:rFonts w:hint="eastAsia" w:ascii="仿宋" w:hAnsi="仿宋" w:eastAsia="仿宋"/>
          <w:color w:val="000000"/>
          <w:sz w:val="32"/>
          <w:szCs w:val="32"/>
        </w:rPr>
        <w:t>年人员经费（具体为财政拨付的2017年终奖未在</w:t>
      </w:r>
      <w:r>
        <w:rPr>
          <w:rFonts w:ascii="仿宋" w:hAnsi="仿宋" w:eastAsia="仿宋"/>
          <w:color w:val="000000"/>
          <w:sz w:val="32"/>
          <w:szCs w:val="32"/>
        </w:rPr>
        <w:t>2017</w:t>
      </w:r>
      <w:r>
        <w:rPr>
          <w:rFonts w:hint="eastAsia" w:ascii="仿宋" w:hAnsi="仿宋" w:eastAsia="仿宋"/>
          <w:color w:val="000000"/>
          <w:sz w:val="32"/>
          <w:szCs w:val="32"/>
        </w:rPr>
        <w:t>年发放）结转到了</w:t>
      </w:r>
      <w:r>
        <w:rPr>
          <w:rFonts w:ascii="仿宋" w:hAnsi="仿宋" w:eastAsia="仿宋"/>
          <w:color w:val="000000"/>
          <w:sz w:val="32"/>
          <w:szCs w:val="32"/>
        </w:rPr>
        <w:t>2018</w:t>
      </w:r>
      <w:r>
        <w:rPr>
          <w:rFonts w:hint="eastAsia" w:ascii="仿宋" w:hAnsi="仿宋" w:eastAsia="仿宋"/>
          <w:color w:val="000000"/>
          <w:sz w:val="32"/>
          <w:szCs w:val="32"/>
        </w:rPr>
        <w:t>年；以及2018年因</w:t>
      </w:r>
      <w:r>
        <w:rPr>
          <w:rFonts w:hint="eastAsia" w:ascii="仿宋" w:hAnsi="仿宋" w:eastAsia="仿宋"/>
          <w:sz w:val="32"/>
          <w:szCs w:val="32"/>
        </w:rPr>
        <w:t>单位办公楼搬迁财政拨付了专项修缮费用。</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21"/>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2019年一般公共预算财政拨款支出318.12万元，主要用于以下方面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支出266.08万元，占</w:t>
      </w:r>
      <w:r>
        <w:rPr>
          <w:rFonts w:ascii="仿宋" w:hAnsi="仿宋" w:eastAsia="仿宋"/>
          <w:color w:val="000000"/>
          <w:sz w:val="32"/>
          <w:szCs w:val="32"/>
        </w:rPr>
        <w:t>8</w:t>
      </w:r>
      <w:r>
        <w:rPr>
          <w:rFonts w:hint="eastAsia" w:ascii="仿宋" w:hAnsi="仿宋" w:eastAsia="仿宋"/>
          <w:color w:val="000000"/>
          <w:sz w:val="32"/>
          <w:szCs w:val="32"/>
        </w:rPr>
        <w:t>3.6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支出21.52万元，占6.7</w:t>
      </w:r>
      <w:r>
        <w:rPr>
          <w:rFonts w:ascii="仿宋" w:hAnsi="仿宋" w:eastAsia="仿宋"/>
          <w:color w:val="000000"/>
          <w:sz w:val="32"/>
          <w:szCs w:val="32"/>
        </w:rPr>
        <w:t>%</w:t>
      </w:r>
      <w:r>
        <w:rPr>
          <w:rFonts w:hint="eastAsia" w:ascii="仿宋" w:hAnsi="仿宋" w:eastAsia="仿宋"/>
          <w:color w:val="000000"/>
          <w:sz w:val="32"/>
          <w:szCs w:val="32"/>
        </w:rPr>
        <w:t>；医疗卫生支出12.28万元，占3.8</w:t>
      </w:r>
      <w:r>
        <w:rPr>
          <w:rFonts w:ascii="仿宋" w:hAnsi="仿宋" w:eastAsia="仿宋"/>
          <w:color w:val="000000"/>
          <w:sz w:val="32"/>
          <w:szCs w:val="32"/>
        </w:rPr>
        <w:t>%</w:t>
      </w:r>
      <w:r>
        <w:rPr>
          <w:rFonts w:hint="eastAsia" w:ascii="仿宋" w:hAnsi="仿宋" w:eastAsia="仿宋"/>
          <w:color w:val="000000"/>
          <w:sz w:val="32"/>
          <w:szCs w:val="32"/>
        </w:rPr>
        <w:t>；住房保障支出18.24万元，占5.9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22" w:name="_Toc15377212"/>
      <w:r>
        <w:rPr>
          <w:rFonts w:hint="eastAsia" w:ascii="仿宋" w:hAnsi="仿宋" w:eastAsia="仿宋"/>
          <w:b/>
          <w:color w:val="000000"/>
          <w:sz w:val="32"/>
          <w:szCs w:val="32"/>
        </w:rPr>
        <w:t>（三）一般公共预算财政拨款支出决算具体情况</w:t>
      </w:r>
      <w:bookmarkEnd w:id="22"/>
    </w:p>
    <w:p>
      <w:pPr>
        <w:spacing w:line="600" w:lineRule="exact"/>
        <w:ind w:firstLine="645"/>
        <w:rPr>
          <w:rFonts w:ascii="仿宋" w:hAnsi="仿宋" w:eastAsia="仿宋"/>
          <w:color w:val="000000"/>
          <w:sz w:val="32"/>
          <w:szCs w:val="32"/>
        </w:rPr>
      </w:pPr>
      <w:bookmarkStart w:id="23" w:name="_Toc15378460"/>
      <w:bookmarkStart w:id="24" w:name="_Toc15377444"/>
      <w:bookmarkStart w:id="25" w:name="_Toc15377213"/>
      <w:r>
        <w:rPr>
          <w:rFonts w:hint="eastAsia" w:ascii="仿宋" w:hAnsi="仿宋" w:eastAsia="仿宋"/>
          <w:b/>
          <w:color w:val="000000"/>
          <w:sz w:val="32"/>
          <w:szCs w:val="32"/>
        </w:rPr>
        <w:t>2019年一般公共预算支出决算数为318.12万元</w:t>
      </w:r>
      <w:r>
        <w:rPr>
          <w:rFonts w:hint="eastAsia" w:ascii="仿宋" w:hAnsi="仿宋" w:eastAsia="仿宋"/>
          <w:color w:val="000000"/>
          <w:sz w:val="32"/>
          <w:szCs w:val="32"/>
        </w:rPr>
        <w:t>，</w:t>
      </w:r>
      <w:r>
        <w:rPr>
          <w:rFonts w:hint="eastAsia"/>
          <w:sz w:val="32"/>
          <w:szCs w:val="32"/>
        </w:rPr>
        <w:t>完成预算99</w:t>
      </w:r>
      <w:r>
        <w:rPr>
          <w:sz w:val="32"/>
          <w:szCs w:val="32"/>
        </w:rPr>
        <w:t>%</w:t>
      </w:r>
      <w:r>
        <w:rPr>
          <w:rFonts w:hint="eastAsia"/>
          <w:sz w:val="32"/>
          <w:szCs w:val="32"/>
        </w:rPr>
        <w:t>。</w:t>
      </w:r>
      <w:r>
        <w:rPr>
          <w:rFonts w:hint="eastAsia" w:ascii="仿宋" w:hAnsi="仿宋" w:eastAsia="仿宋"/>
          <w:color w:val="000000"/>
          <w:sz w:val="32"/>
          <w:szCs w:val="32"/>
        </w:rPr>
        <w:t>其中：</w:t>
      </w:r>
      <w:bookmarkEnd w:id="23"/>
      <w:bookmarkEnd w:id="24"/>
      <w:bookmarkEnd w:id="25"/>
    </w:p>
    <w:p>
      <w:pPr>
        <w:spacing w:line="600" w:lineRule="exact"/>
        <w:ind w:firstLine="645"/>
        <w:rPr>
          <w:rFonts w:ascii="仿宋" w:hAnsi="仿宋" w:eastAsia="仿宋"/>
          <w:color w:val="000000"/>
          <w:sz w:val="32"/>
          <w:szCs w:val="32"/>
        </w:rPr>
      </w:pPr>
      <w:r>
        <w:rPr>
          <w:rFonts w:ascii="仿宋" w:hAnsi="仿宋" w:eastAsia="仿宋"/>
          <w:color w:val="000000"/>
          <w:sz w:val="32"/>
          <w:szCs w:val="32"/>
        </w:rPr>
        <w:t xml:space="preserve">1. </w:t>
      </w:r>
      <w:r>
        <w:rPr>
          <w:rFonts w:hint="eastAsia" w:ascii="仿宋" w:hAnsi="仿宋" w:eastAsia="仿宋"/>
          <w:color w:val="000000"/>
          <w:sz w:val="32"/>
          <w:szCs w:val="32"/>
        </w:rPr>
        <w:t>一般公共服务支出</w:t>
      </w:r>
      <w:r>
        <w:rPr>
          <w:rFonts w:ascii="仿宋" w:hAnsi="仿宋" w:eastAsia="仿宋"/>
          <w:color w:val="000000"/>
          <w:sz w:val="32"/>
          <w:szCs w:val="32"/>
        </w:rPr>
        <w:t>-</w:t>
      </w:r>
      <w:r>
        <w:rPr>
          <w:rFonts w:hint="eastAsia" w:ascii="仿宋" w:hAnsi="仿宋" w:eastAsia="仿宋"/>
          <w:color w:val="000000"/>
          <w:sz w:val="32"/>
          <w:szCs w:val="32"/>
        </w:rPr>
        <w:t>民主党派及工商联事务</w:t>
      </w:r>
      <w:r>
        <w:rPr>
          <w:rFonts w:ascii="仿宋" w:hAnsi="仿宋" w:eastAsia="仿宋"/>
          <w:color w:val="000000"/>
          <w:sz w:val="32"/>
          <w:szCs w:val="32"/>
        </w:rPr>
        <w:t>-</w:t>
      </w:r>
      <w:r>
        <w:rPr>
          <w:rFonts w:hint="eastAsia" w:ascii="仿宋" w:hAnsi="仿宋" w:eastAsia="仿宋"/>
          <w:color w:val="000000"/>
          <w:sz w:val="32"/>
          <w:szCs w:val="32"/>
        </w:rPr>
        <w:t>行政运行</w:t>
      </w:r>
      <w:r>
        <w:rPr>
          <w:rFonts w:ascii="仿宋" w:hAnsi="仿宋" w:eastAsia="仿宋"/>
          <w:color w:val="000000"/>
          <w:sz w:val="32"/>
          <w:szCs w:val="32"/>
        </w:rPr>
        <w:t>:</w:t>
      </w:r>
      <w:r>
        <w:rPr>
          <w:rFonts w:hint="eastAsia" w:ascii="仿宋" w:hAnsi="仿宋" w:eastAsia="仿宋"/>
          <w:color w:val="000000"/>
          <w:sz w:val="32"/>
          <w:szCs w:val="32"/>
        </w:rPr>
        <w:t>支出决算为239.09万元，完成预算99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 xml:space="preserve">2. </w:t>
      </w:r>
      <w:r>
        <w:rPr>
          <w:rFonts w:hint="eastAsia" w:ascii="仿宋" w:hAnsi="仿宋" w:eastAsia="仿宋"/>
          <w:color w:val="000000"/>
          <w:sz w:val="32"/>
          <w:szCs w:val="32"/>
        </w:rPr>
        <w:t>一般公共服务支出</w:t>
      </w:r>
      <w:r>
        <w:rPr>
          <w:rFonts w:ascii="仿宋" w:hAnsi="仿宋" w:eastAsia="仿宋"/>
          <w:color w:val="000000"/>
          <w:sz w:val="32"/>
          <w:szCs w:val="32"/>
        </w:rPr>
        <w:t>-</w:t>
      </w:r>
      <w:r>
        <w:rPr>
          <w:rFonts w:hint="eastAsia" w:ascii="仿宋" w:hAnsi="仿宋" w:eastAsia="仿宋"/>
          <w:color w:val="000000"/>
          <w:sz w:val="32"/>
          <w:szCs w:val="32"/>
        </w:rPr>
        <w:t>民主党派及工商联事务</w:t>
      </w:r>
      <w:r>
        <w:rPr>
          <w:rFonts w:ascii="仿宋" w:hAnsi="仿宋" w:eastAsia="仿宋"/>
          <w:color w:val="000000"/>
          <w:sz w:val="32"/>
          <w:szCs w:val="32"/>
        </w:rPr>
        <w:t>-</w:t>
      </w:r>
      <w:r>
        <w:rPr>
          <w:rFonts w:hint="eastAsia" w:ascii="仿宋" w:hAnsi="仿宋" w:eastAsia="仿宋"/>
          <w:color w:val="000000"/>
          <w:sz w:val="32"/>
          <w:szCs w:val="32"/>
        </w:rPr>
        <w:t>一般行政管理事务：支出决算为27万元，完成预算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社会保障和就业支出</w:t>
      </w:r>
      <w:r>
        <w:rPr>
          <w:rFonts w:ascii="仿宋" w:hAnsi="仿宋" w:eastAsia="仿宋"/>
          <w:color w:val="000000"/>
          <w:sz w:val="32"/>
          <w:szCs w:val="32"/>
        </w:rPr>
        <w:t>-</w:t>
      </w:r>
      <w:r>
        <w:rPr>
          <w:rFonts w:hint="eastAsia" w:ascii="仿宋" w:hAnsi="仿宋" w:eastAsia="仿宋"/>
          <w:color w:val="000000"/>
          <w:sz w:val="32"/>
          <w:szCs w:val="32"/>
        </w:rPr>
        <w:t>行政事业单位离退休</w:t>
      </w:r>
      <w:r>
        <w:rPr>
          <w:rFonts w:ascii="仿宋" w:hAnsi="仿宋" w:eastAsia="仿宋"/>
          <w:color w:val="000000"/>
          <w:sz w:val="32"/>
          <w:szCs w:val="32"/>
        </w:rPr>
        <w:t>-</w:t>
      </w:r>
      <w:r>
        <w:rPr>
          <w:rFonts w:hint="eastAsia" w:ascii="仿宋" w:hAnsi="仿宋" w:eastAsia="仿宋"/>
          <w:color w:val="000000"/>
          <w:sz w:val="32"/>
          <w:szCs w:val="32"/>
        </w:rPr>
        <w:t>机关事业单位基本养老保险缴费支出决算为17.67万元，完成预算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 xml:space="preserve">4. </w:t>
      </w:r>
      <w:r>
        <w:rPr>
          <w:rFonts w:hint="eastAsia" w:ascii="仿宋" w:hAnsi="仿宋" w:eastAsia="仿宋"/>
          <w:color w:val="000000"/>
          <w:sz w:val="32"/>
          <w:szCs w:val="32"/>
        </w:rPr>
        <w:t>社会保障和就业支出</w:t>
      </w:r>
      <w:r>
        <w:rPr>
          <w:rFonts w:ascii="仿宋" w:hAnsi="仿宋" w:eastAsia="仿宋"/>
          <w:color w:val="000000"/>
          <w:sz w:val="32"/>
          <w:szCs w:val="32"/>
        </w:rPr>
        <w:t>-</w:t>
      </w:r>
      <w:r>
        <w:rPr>
          <w:rFonts w:hint="eastAsia" w:ascii="仿宋" w:hAnsi="仿宋" w:eastAsia="仿宋"/>
          <w:color w:val="000000"/>
          <w:sz w:val="32"/>
          <w:szCs w:val="32"/>
        </w:rPr>
        <w:t>行政事业单位离退休</w:t>
      </w:r>
      <w:r>
        <w:rPr>
          <w:rFonts w:ascii="仿宋" w:hAnsi="仿宋" w:eastAsia="仿宋"/>
          <w:color w:val="000000"/>
          <w:sz w:val="32"/>
          <w:szCs w:val="32"/>
        </w:rPr>
        <w:t>-</w:t>
      </w:r>
      <w:r>
        <w:rPr>
          <w:rFonts w:hint="eastAsia" w:ascii="仿宋" w:hAnsi="仿宋" w:eastAsia="仿宋"/>
          <w:color w:val="000000"/>
          <w:sz w:val="32"/>
          <w:szCs w:val="32"/>
        </w:rPr>
        <w:t>机关事业单位职业年金缴费支出决算为3.84万元。</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医疗卫生与计划生育支出</w:t>
      </w:r>
      <w:r>
        <w:rPr>
          <w:rFonts w:ascii="仿宋" w:hAnsi="仿宋" w:eastAsia="仿宋"/>
          <w:color w:val="000000"/>
          <w:sz w:val="32"/>
          <w:szCs w:val="32"/>
        </w:rPr>
        <w:t>-</w:t>
      </w:r>
      <w:r>
        <w:rPr>
          <w:rFonts w:hint="eastAsia" w:ascii="仿宋" w:hAnsi="仿宋" w:eastAsia="仿宋"/>
          <w:color w:val="000000"/>
          <w:sz w:val="32"/>
          <w:szCs w:val="32"/>
        </w:rPr>
        <w:t>行政事业单位医疗</w:t>
      </w:r>
      <w:r>
        <w:rPr>
          <w:rFonts w:ascii="仿宋" w:hAnsi="仿宋" w:eastAsia="仿宋"/>
          <w:color w:val="000000"/>
          <w:sz w:val="32"/>
          <w:szCs w:val="32"/>
        </w:rPr>
        <w:t>-</w:t>
      </w:r>
      <w:r>
        <w:rPr>
          <w:rFonts w:hint="eastAsia" w:ascii="仿宋" w:hAnsi="仿宋" w:eastAsia="仿宋"/>
          <w:color w:val="000000"/>
          <w:sz w:val="32"/>
          <w:szCs w:val="32"/>
        </w:rPr>
        <w:t>行政单位医疗</w:t>
      </w:r>
      <w:r>
        <w:rPr>
          <w:rFonts w:ascii="仿宋" w:hAnsi="仿宋" w:eastAsia="仿宋"/>
          <w:color w:val="000000"/>
          <w:sz w:val="32"/>
          <w:szCs w:val="32"/>
        </w:rPr>
        <w:t>-</w:t>
      </w:r>
      <w:r>
        <w:rPr>
          <w:rFonts w:hint="eastAsia" w:ascii="仿宋" w:hAnsi="仿宋" w:eastAsia="仿宋"/>
          <w:color w:val="000000"/>
          <w:sz w:val="32"/>
          <w:szCs w:val="32"/>
        </w:rPr>
        <w:t>支出决算为12.28万元，完成预算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住房保障支出</w:t>
      </w:r>
      <w:r>
        <w:rPr>
          <w:rFonts w:ascii="仿宋" w:hAnsi="仿宋" w:eastAsia="仿宋"/>
          <w:color w:val="000000"/>
          <w:sz w:val="32"/>
          <w:szCs w:val="32"/>
        </w:rPr>
        <w:t>-</w:t>
      </w:r>
      <w:r>
        <w:rPr>
          <w:rFonts w:hint="eastAsia" w:ascii="仿宋" w:hAnsi="仿宋" w:eastAsia="仿宋"/>
          <w:color w:val="000000"/>
          <w:sz w:val="32"/>
          <w:szCs w:val="32"/>
        </w:rPr>
        <w:t>住房改革支出</w:t>
      </w:r>
      <w:r>
        <w:rPr>
          <w:rFonts w:ascii="仿宋" w:hAnsi="仿宋" w:eastAsia="仿宋"/>
          <w:color w:val="000000"/>
          <w:sz w:val="32"/>
          <w:szCs w:val="32"/>
        </w:rPr>
        <w:t>-</w:t>
      </w:r>
      <w:r>
        <w:rPr>
          <w:rFonts w:hint="eastAsia" w:ascii="仿宋" w:hAnsi="仿宋" w:eastAsia="仿宋"/>
          <w:color w:val="000000"/>
          <w:sz w:val="32"/>
          <w:szCs w:val="32"/>
        </w:rPr>
        <w:t>住房公积金</w:t>
      </w:r>
      <w:r>
        <w:rPr>
          <w:rFonts w:ascii="仿宋" w:hAnsi="仿宋" w:eastAsia="仿宋"/>
          <w:color w:val="000000"/>
          <w:sz w:val="32"/>
          <w:szCs w:val="32"/>
        </w:rPr>
        <w:t>-</w:t>
      </w:r>
      <w:r>
        <w:rPr>
          <w:rFonts w:hint="eastAsia" w:ascii="仿宋" w:hAnsi="仿宋" w:eastAsia="仿宋"/>
          <w:color w:val="000000"/>
          <w:sz w:val="32"/>
          <w:szCs w:val="32"/>
        </w:rPr>
        <w:t>支出决算为18.24万元。完成预算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spacing w:line="600" w:lineRule="exact"/>
        <w:ind w:firstLine="645"/>
        <w:rPr>
          <w:rFonts w:ascii="仿宋" w:hAnsi="仿宋" w:eastAsia="仿宋"/>
          <w:b/>
          <w:color w:val="000000"/>
          <w:sz w:val="32"/>
          <w:szCs w:val="32"/>
        </w:rPr>
      </w:pPr>
      <w:r>
        <w:rPr>
          <w:rFonts w:ascii="仿宋" w:hAnsi="仿宋" w:eastAsia="仿宋"/>
          <w:b/>
          <w:color w:val="000000"/>
          <w:sz w:val="32"/>
          <w:szCs w:val="32"/>
        </w:rPr>
        <w:t>201</w:t>
      </w:r>
      <w:r>
        <w:rPr>
          <w:rFonts w:hint="eastAsia" w:ascii="仿宋" w:hAnsi="仿宋" w:eastAsia="仿宋"/>
          <w:b/>
          <w:color w:val="000000"/>
          <w:sz w:val="32"/>
          <w:szCs w:val="32"/>
        </w:rPr>
        <w:t>9年一般公共预算财政拨款基本支出291.12万元，其中：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242.35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48.77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rPr>
          <w:rFonts w:ascii="黑体" w:hAnsi="黑体" w:eastAsia="黑体" w:cs="黑体"/>
          <w:bCs/>
          <w:sz w:val="32"/>
          <w:szCs w:val="32"/>
        </w:rPr>
      </w:pPr>
      <w:r>
        <w:rPr>
          <w:rFonts w:hint="eastAsia" w:ascii="黑体" w:hAnsi="黑体" w:eastAsia="黑体" w:cs="黑体"/>
          <w:bCs/>
          <w:sz w:val="32"/>
          <w:szCs w:val="32"/>
        </w:rPr>
        <w:t>七、“三公”经费财政拨款支出决算情况</w:t>
      </w:r>
    </w:p>
    <w:p>
      <w:pPr>
        <w:spacing w:line="600" w:lineRule="exact"/>
        <w:ind w:firstLine="640"/>
        <w:outlineLvl w:val="2"/>
        <w:rPr>
          <w:rFonts w:ascii="仿宋" w:hAnsi="仿宋" w:eastAsia="仿宋"/>
          <w:b/>
          <w:color w:val="000000"/>
          <w:sz w:val="32"/>
          <w:szCs w:val="32"/>
        </w:rPr>
      </w:pPr>
      <w:bookmarkStart w:id="26" w:name="_Toc15377216"/>
      <w:r>
        <w:rPr>
          <w:rFonts w:hint="eastAsia" w:ascii="仿宋" w:hAnsi="仿宋" w:eastAsia="仿宋"/>
          <w:b/>
          <w:color w:val="000000"/>
          <w:sz w:val="32"/>
          <w:szCs w:val="32"/>
        </w:rPr>
        <w:t>（一）“三公”经费财政拨款支出决算总体情况说明</w:t>
      </w:r>
      <w:bookmarkEnd w:id="26"/>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9年“三公”经费财政拨款支出决算为2.45万元，完成预算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27" w:name="_Toc15377217"/>
      <w:r>
        <w:rPr>
          <w:rFonts w:hint="eastAsia" w:ascii="仿宋" w:hAnsi="仿宋" w:eastAsia="仿宋"/>
          <w:b/>
          <w:color w:val="000000"/>
          <w:sz w:val="32"/>
          <w:szCs w:val="32"/>
        </w:rPr>
        <w:t>（二）“三公”经费财政拨款支出决算具体情况说明</w:t>
      </w:r>
      <w:bookmarkEnd w:id="2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；公务接待费支出决算2.45万元，占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万元，与</w:t>
      </w:r>
      <w:r>
        <w:rPr>
          <w:rFonts w:ascii="仿宋_GB2312" w:eastAsia="仿宋_GB2312"/>
          <w:color w:val="000000"/>
          <w:sz w:val="32"/>
          <w:szCs w:val="32"/>
        </w:rPr>
        <w:t>2017</w:t>
      </w:r>
      <w:r>
        <w:rPr>
          <w:rFonts w:hint="eastAsia" w:ascii="仿宋_GB2312" w:eastAsia="仿宋_GB2312"/>
          <w:color w:val="000000"/>
          <w:sz w:val="32"/>
          <w:szCs w:val="32"/>
        </w:rPr>
        <w:t>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 xml:space="preserve">, </w:t>
      </w:r>
      <w:r>
        <w:rPr>
          <w:rFonts w:hint="eastAsia" w:ascii="仿宋_GB2312" w:eastAsia="仿宋_GB2312"/>
          <w:color w:val="000000"/>
          <w:sz w:val="32"/>
          <w:szCs w:val="32"/>
        </w:rPr>
        <w:t>与</w:t>
      </w:r>
      <w:r>
        <w:rPr>
          <w:rFonts w:ascii="仿宋_GB2312" w:eastAsia="仿宋_GB2312"/>
          <w:color w:val="000000"/>
          <w:sz w:val="32"/>
          <w:szCs w:val="32"/>
        </w:rPr>
        <w:t>2017</w:t>
      </w:r>
      <w:r>
        <w:rPr>
          <w:rFonts w:hint="eastAsia" w:ascii="仿宋_GB2312" w:eastAsia="仿宋_GB2312"/>
          <w:color w:val="000000"/>
          <w:sz w:val="32"/>
          <w:szCs w:val="32"/>
        </w:rPr>
        <w:t>年持平。</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2.45万元，</w:t>
      </w:r>
      <w:r>
        <w:rPr>
          <w:rFonts w:hint="eastAsia" w:ascii="仿宋_GB2312" w:eastAsia="仿宋_GB2312"/>
          <w:sz w:val="32"/>
          <w:szCs w:val="32"/>
        </w:rPr>
        <w:t>完成预算</w:t>
      </w:r>
      <w:r>
        <w:rPr>
          <w:rFonts w:ascii="仿宋_GB2312" w:eastAsia="仿宋_GB2312"/>
          <w:sz w:val="32"/>
          <w:szCs w:val="32"/>
        </w:rPr>
        <w:t>100%</w:t>
      </w:r>
      <w:r>
        <w:rPr>
          <w:rFonts w:hint="eastAsia" w:ascii="仿宋_GB2312" w:eastAsia="仿宋_GB2312"/>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8年相比持平。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 30 批次，243 人次（不包括陪同人员），共计支出2.45万元。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执行公务、开展业务活动开支的交通费、住宿费、用餐费等</w:t>
      </w:r>
      <w:r>
        <w:rPr>
          <w:rFonts w:ascii="仿宋_GB2312" w:eastAsia="仿宋_GB2312"/>
          <w:color w:val="000000"/>
          <w:sz w:val="32"/>
          <w:szCs w:val="32"/>
        </w:rPr>
        <w:t>)</w:t>
      </w:r>
      <w:r>
        <w:rPr>
          <w:rFonts w:hint="eastAsia" w:ascii="仿宋_GB2312" w:eastAsia="仿宋_GB2312"/>
          <w:color w:val="000000"/>
          <w:sz w:val="32"/>
          <w:szCs w:val="32"/>
        </w:rPr>
        <w:t>。国内公务接待0批次，0人次（不包括陪同人员），共计支出0万元，具体内容包括：（接待具体项目、金额）。</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万元，外事接待0批次，0人，共计支出0万元，主要用于接待（具体项目）</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八、政府性基金预算财政拨款支出决算情况</w:t>
      </w:r>
    </w:p>
    <w:p>
      <w:pPr>
        <w:spacing w:line="600" w:lineRule="exact"/>
        <w:ind w:firstLine="1120" w:firstLineChars="35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12"/>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九、国有资本经营预算支出决算情况说明</w:t>
      </w:r>
    </w:p>
    <w:p>
      <w:pPr>
        <w:spacing w:line="600" w:lineRule="exact"/>
        <w:ind w:firstLine="960" w:firstLineChars="3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widowControl/>
        <w:spacing w:line="560" w:lineRule="exact"/>
        <w:ind w:firstLine="640" w:firstLineChars="200"/>
        <w:jc w:val="left"/>
        <w:rPr>
          <w:rFonts w:ascii="黑体" w:hAnsi="黑体" w:eastAsia="黑体" w:cs="黑体"/>
          <w:bCs/>
          <w:sz w:val="32"/>
          <w:szCs w:val="32"/>
        </w:rPr>
      </w:pPr>
      <w:r>
        <w:rPr>
          <w:rFonts w:hint="eastAsia" w:ascii="黑体" w:hAnsi="黑体" w:eastAsia="黑体" w:cs="黑体"/>
          <w:sz w:val="32"/>
          <w:szCs w:val="32"/>
        </w:rPr>
        <w:t>十、</w:t>
      </w:r>
      <w:r>
        <w:rPr>
          <w:rFonts w:hint="eastAsia" w:ascii="黑体" w:hAnsi="黑体" w:eastAsia="黑体" w:cs="黑体"/>
          <w:bCs/>
          <w:sz w:val="32"/>
          <w:szCs w:val="32"/>
        </w:rPr>
        <w:t>其他重要事项的情况说明</w:t>
      </w:r>
    </w:p>
    <w:p>
      <w:pPr>
        <w:spacing w:line="600" w:lineRule="exact"/>
        <w:ind w:firstLine="643" w:firstLineChars="200"/>
        <w:outlineLvl w:val="2"/>
        <w:rPr>
          <w:rFonts w:ascii="仿宋" w:hAnsi="仿宋" w:eastAsia="仿宋"/>
          <w:color w:val="000000"/>
          <w:sz w:val="32"/>
          <w:szCs w:val="32"/>
        </w:rPr>
      </w:pPr>
      <w:bookmarkStart w:id="28" w:name="_Toc15377222"/>
      <w:bookmarkStart w:id="29" w:name="_Toc15377223"/>
      <w:r>
        <w:rPr>
          <w:rFonts w:hint="eastAsia" w:ascii="仿宋" w:hAnsi="仿宋" w:eastAsia="仿宋"/>
          <w:b/>
          <w:color w:val="000000"/>
          <w:sz w:val="32"/>
          <w:szCs w:val="32"/>
        </w:rPr>
        <w:t>（一）机关运行经费支出情况</w:t>
      </w:r>
      <w:bookmarkEnd w:id="28"/>
    </w:p>
    <w:p>
      <w:pPr>
        <w:spacing w:line="600" w:lineRule="exact"/>
        <w:ind w:firstLine="960" w:firstLineChars="3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2019年，市工商联机关运行经费支出48.76万元，比2018年减少12.68万元，下降21%。</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2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9年，市工商联政府采购支出总额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30" w:name="_Toc15377224"/>
      <w:r>
        <w:rPr>
          <w:rFonts w:hint="eastAsia" w:ascii="仿宋" w:hAnsi="仿宋" w:eastAsia="仿宋"/>
          <w:b/>
          <w:color w:val="000000"/>
          <w:sz w:val="32"/>
          <w:szCs w:val="32"/>
        </w:rPr>
        <w:t>（三）国有资产占有使用情况</w:t>
      </w:r>
      <w:bookmarkEnd w:id="3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日，市工商联共有车辆</w:t>
      </w:r>
      <w:r>
        <w:rPr>
          <w:rFonts w:ascii="仿宋_GB2312" w:eastAsia="仿宋_GB2312"/>
          <w:color w:val="000000"/>
          <w:sz w:val="32"/>
          <w:szCs w:val="32"/>
        </w:rPr>
        <w:t>0</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辆。其他用车主要是用于单价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按照预算绩效管理要求，本部门（单位）在年初预算编制阶段，组织对全市</w:t>
      </w:r>
      <w:r>
        <w:rPr>
          <w:rFonts w:hint="eastAsia" w:ascii="仿宋" w:hAnsi="仿宋" w:eastAsia="仿宋"/>
          <w:sz w:val="32"/>
          <w:szCs w:val="32"/>
        </w:rPr>
        <w:t>东西部扶贫协作、民营企业直报、招商引资、宣传调研、经济服务、万企帮万村、脱贫攻坚、经贸联络8个</w:t>
      </w:r>
      <w:r>
        <w:rPr>
          <w:rFonts w:hint="eastAsia" w:ascii="仿宋" w:hAnsi="仿宋" w:eastAsia="仿宋" w:cs="仿宋_GB2312"/>
          <w:sz w:val="32"/>
          <w:szCs w:val="32"/>
        </w:rPr>
        <w:t>项目</w:t>
      </w:r>
      <w:r>
        <w:rPr>
          <w:rFonts w:hint="eastAsia" w:ascii="仿宋_GB2312" w:hAnsi="仿宋_GB2312" w:eastAsia="仿宋_GB2312" w:cs="仿宋_GB2312"/>
          <w:sz w:val="32"/>
          <w:szCs w:val="32"/>
        </w:rPr>
        <w:t>编制了绩效目标，预算执行过程中，选取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9年部门整体支出开展绩效自评，从评价情况来看，我会共编制绩效目标8个，涉及财政资金27万元，覆盖率达到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（二）</w:t>
      </w:r>
      <w:r>
        <w:rPr>
          <w:rFonts w:hint="eastAsia" w:ascii="仿宋" w:hAnsi="仿宋" w:eastAsia="仿宋" w:cs="楷体_GB2312"/>
          <w:b/>
          <w:bCs/>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9年度部门决算中反映</w:t>
      </w:r>
      <w:r>
        <w:rPr>
          <w:rFonts w:hint="eastAsia" w:ascii="仿宋" w:hAnsi="仿宋" w:eastAsia="仿宋"/>
          <w:sz w:val="32"/>
          <w:szCs w:val="32"/>
        </w:rPr>
        <w:t>招商引资、宣传调研等</w:t>
      </w:r>
      <w:r>
        <w:rPr>
          <w:rFonts w:hint="eastAsia" w:ascii="仿宋_GB2312" w:hAnsi="仿宋_GB2312" w:eastAsia="仿宋_GB2312" w:cs="仿宋_GB2312"/>
          <w:sz w:val="32"/>
          <w:szCs w:val="32"/>
        </w:rPr>
        <w:t>2个项目绩效目标实际完成情况。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 w:hAnsi="仿宋" w:eastAsia="仿宋"/>
          <w:sz w:val="32"/>
          <w:szCs w:val="32"/>
        </w:rPr>
        <w:t>招商引资</w:t>
      </w:r>
      <w:r>
        <w:rPr>
          <w:rFonts w:hint="eastAsia" w:ascii="仿宋_GB2312" w:hAnsi="仿宋_GB2312" w:eastAsia="仿宋_GB2312" w:cs="仿宋_GB2312"/>
          <w:sz w:val="32"/>
          <w:szCs w:val="32"/>
        </w:rPr>
        <w:t>绩效目标完成情况综述。项目全年预算数4.28万元，执行数为4.28万元，完成预算的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。通过项目实施，发现的主要问题：绩效评价管理制度尚不健全</w:t>
      </w:r>
      <w:r>
        <w:rPr>
          <w:rFonts w:hint="eastAsia" w:ascii="仿宋" w:hAnsi="仿宋" w:eastAsia="仿宋"/>
          <w:sz w:val="32"/>
          <w:szCs w:val="32"/>
        </w:rPr>
        <w:t>，</w:t>
      </w:r>
      <w:r>
        <w:rPr>
          <w:rFonts w:hint="eastAsia" w:ascii="仿宋_GB2312" w:hAnsi="仿宋_GB2312" w:eastAsia="仿宋_GB2312" w:cs="仿宋_GB2312"/>
          <w:sz w:val="32"/>
          <w:szCs w:val="32"/>
        </w:rPr>
        <w:t>虽然我会制定和完善了内部管理制度以及相关的管理办法，但还不够完善，需进一步改进。下一步改进措施：</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我们将进一步重视预算的编制工作，提高预算编制的精确度，提高财政资金使用效率。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明年的支出绩效评价工作，我们将根据指标的内容设置一些具体明细的项目后再进行评议，以使绩效得分更加客观和具有参考价值。</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 w:hAnsi="仿宋" w:eastAsia="仿宋"/>
          <w:sz w:val="32"/>
          <w:szCs w:val="32"/>
        </w:rPr>
        <w:t>经贸联络绩效</w:t>
      </w:r>
      <w:r>
        <w:rPr>
          <w:rFonts w:hint="eastAsia" w:ascii="仿宋_GB2312" w:hAnsi="仿宋_GB2312" w:eastAsia="仿宋_GB2312" w:cs="仿宋_GB2312"/>
          <w:sz w:val="32"/>
          <w:szCs w:val="32"/>
        </w:rPr>
        <w:t>目标完成情况综述。项目全年预算数4万元，执行数为4万元，完成预算的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。通过项目实施，发现的主要问题：绩效评价管理制度尚不健全</w:t>
      </w:r>
      <w:r>
        <w:rPr>
          <w:rFonts w:hint="eastAsia" w:ascii="仿宋" w:hAnsi="仿宋" w:eastAsia="仿宋"/>
          <w:sz w:val="32"/>
          <w:szCs w:val="32"/>
        </w:rPr>
        <w:t>，</w:t>
      </w:r>
      <w:r>
        <w:rPr>
          <w:rFonts w:hint="eastAsia" w:ascii="仿宋_GB2312" w:hAnsi="仿宋_GB2312" w:eastAsia="仿宋_GB2312" w:cs="仿宋_GB2312"/>
          <w:sz w:val="32"/>
          <w:szCs w:val="32"/>
        </w:rPr>
        <w:t>虽然我会制定和完善了内部管理制度以及相关的管理办法，但还不够完善，需进一步改进。下一步改进措施：</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我们将进一步重视预算的编制工作，提高预算编制的精确度，提高财政资金使用效率。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明年的支出绩效评价工作，我们将根据指标的内容设置一些具体明细的项目后再进行评议，以使绩效得分更加客观和具有参考价值。</w:t>
      </w:r>
    </w:p>
    <w:p>
      <w:pPr>
        <w:spacing w:line="560" w:lineRule="exact"/>
        <w:ind w:firstLine="640" w:firstLineChars="200"/>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173"/>
        <w:gridCol w:w="2415"/>
        <w:gridCol w:w="2198"/>
        <w:gridCol w:w="1792"/>
        <w:gridCol w:w="600"/>
      </w:tblGrid>
      <w:tr>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pPr>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rPr>
              <w:t>9</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招商引资</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广元市工商业联合会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4.28万元</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4.28万元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4.28万元</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4.28万元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1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98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5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439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98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420" w:firstLineChars="200"/>
            </w:pPr>
            <w:r>
              <w:rPr>
                <w:rFonts w:hint="eastAsia"/>
              </w:rPr>
              <w:t>一年来，全市工商联系统开展招商引资活动40余次，招商引资到位6.99亿元，其中市联招商引资到位1.35亿元，签约亿元以上项目1个，直接争取社会资金105万元，超额完成目标任务。四川龙申建设成功进入四川百强民营企业名录。</w:t>
            </w:r>
          </w:p>
          <w:p>
            <w:pPr>
              <w:widowControl/>
              <w:jc w:val="center"/>
              <w:textAlignment w:val="center"/>
            </w:pPr>
          </w:p>
        </w:tc>
        <w:tc>
          <w:tcPr>
            <w:tcW w:w="45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420" w:firstLineChars="200"/>
            </w:pPr>
            <w:r>
              <w:rPr>
                <w:rFonts w:hint="eastAsia"/>
              </w:rPr>
              <w:t>一年来，全市工商联系统开展招商引资活动40余次，招商引资到位6.99亿元，其中市联招商引资到位1.35亿元，签约亿元以上项目1个，直接争取社会资金105万元，超额完成目标任务。四川龙申建设成功进入四川百强民营企业名录。</w:t>
            </w:r>
          </w:p>
          <w:p>
            <w:pPr>
              <w:jc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预期指标值</w:t>
            </w:r>
            <w:r>
              <w:t>(</w:t>
            </w:r>
            <w:r>
              <w:rPr>
                <w:rFonts w:hint="eastAsia"/>
              </w:rPr>
              <w:t>包含数字及文字描述</w:t>
            </w:r>
            <w:r>
              <w:t>)</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实际完成指标值</w:t>
            </w:r>
            <w:r>
              <w:t>(</w:t>
            </w:r>
            <w:r>
              <w:rPr>
                <w:rFonts w:hint="eastAsia"/>
              </w:rPr>
              <w:t>包含数字及文字描述</w:t>
            </w:r>
            <w:r>
              <w:t>)</w:t>
            </w:r>
          </w:p>
        </w:tc>
      </w:tr>
      <w:tr>
        <w:tblPrEx>
          <w:tblCellMar>
            <w:top w:w="0" w:type="dxa"/>
            <w:left w:w="0" w:type="dxa"/>
            <w:bottom w:w="0" w:type="dxa"/>
            <w:right w:w="0" w:type="dxa"/>
          </w:tblCellMar>
        </w:tblPrEx>
        <w:trPr>
          <w:trHeight w:val="12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w:t>
            </w:r>
            <w:r>
              <w:rPr>
                <w:rFonts w:ascii="宋体" w:cs="宋体"/>
                <w:color w:val="000000"/>
                <w:sz w:val="24"/>
              </w:rPr>
              <w:t>1</w:t>
            </w:r>
            <w:r>
              <w:rPr>
                <w:rFonts w:hint="eastAsia"/>
              </w:rPr>
              <w:t>：走出去宣传推介</w:t>
            </w: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会领导多次带队外出考察，走访商会企业，推介我市投资环境和重点项目。组织女企业家商会赴中东考察，广汇公司参加南宁“驻外使领馆与民营企业面对面交流”活动，唯鸿生物科技公司等参加省工商联“一带一路”培训会，副会长企业百夫长公司已在阿曼建立广元馆，10多种产品打入中东市场，成为参与“一带一路”建设典型。组织县区工商联和市建筑协会、五金机电家电协会等8家商协会和70余企业家，赴汉中、天水、西安、济南等地考察，学习商会创新、平台建设和人才培养经验，对接达成多项合作意向</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r>
              <w:rPr>
                <w:rFonts w:hint="eastAsia"/>
              </w:rPr>
              <w:t>指标</w:t>
            </w:r>
            <w:r>
              <w:t>2</w:t>
            </w:r>
            <w:r>
              <w:rPr>
                <w:rFonts w:hint="eastAsia"/>
              </w:rPr>
              <w:t>：</w:t>
            </w:r>
            <w:r>
              <w:rPr>
                <w:rFonts w:ascii="宋体" w:cs="宋体"/>
                <w:sz w:val="24"/>
              </w:rPr>
              <w:t xml:space="preserve"> </w:t>
            </w:r>
            <w:r>
              <w:rPr>
                <w:rFonts w:hint="eastAsia"/>
              </w:rPr>
              <w:t>请进来考察投资</w:t>
            </w: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邀请昆仑燃气四川分公司来广考察智慧能源运营管理项目，一期投资10亿元。邀请四川圣桦集团和江西客商来广考察康养、柚茶、石材等项目，达成投资意向。举办民营企业旺苍行活动，参与承办中国独角兽商机共享大会</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33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rPr>
              <w:t>指标</w:t>
            </w:r>
            <w:r>
              <w:t>3</w:t>
            </w:r>
            <w:r>
              <w:rPr>
                <w:rFonts w:hint="eastAsia"/>
              </w:rPr>
              <w:t>促进项目投资落地</w:t>
            </w: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420" w:firstLineChars="200"/>
            </w:pPr>
            <w:r>
              <w:rPr>
                <w:rFonts w:hint="eastAsia"/>
              </w:rPr>
              <w:t>协调劳特巴赫精酿啤酒公司与投资商、销售商顺利合作，5月已正式投产；争取上海世茂集团做好对援助项目“世茂爱心医院”回访，实施多元化医疗援助；淼汇置业与香港万汇城百货合作升级城南时代广场即将开业；协助川陕甘五金机电广元万贯采购节，成交3.8亿元。一年来，全市工商联系统开展招商引资活动40余次，招商引资到位6.99亿元，其中市联招商引资到位1.35亿元，签约亿元以上项目1个，直接争取社会资金105万元，超额完成目标任务。四川龙申建设成功进入四川百强民营企业名录。</w:t>
            </w:r>
          </w:p>
          <w:p>
            <w:pPr>
              <w:spacing w:line="560" w:lineRule="exact"/>
              <w:ind w:firstLine="420" w:firstLineChars="200"/>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成本指标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经济效益</w:t>
            </w:r>
            <w:r>
              <w:br w:type="textWrapping"/>
            </w:r>
            <w:r>
              <w:rPr>
                <w:rFonts w:hint="eastAsia"/>
              </w:rPr>
              <w:t>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协调劳特巴赫精酿啤酒公司与投资商、销售商顺利合作，5月已正式投产；争取上海世茂集团做好对援助项目“世茂爱心医院”回访，实施多元化医疗援助；淼汇置业与香港万汇城百货合作升级城南时代广场即将开业；协助川陕甘五金机电广元万贯采购节，成交3.8亿元。一年来，全市工商联系统开展招商引资活动40余次，招商引资到位6.99亿元，其中市联招商引资到位1.35亿元，签约亿元以上项目1个，直接争取社会资金105万元，超额完成目标任务。四川龙申建设成功进入四川百强民营企业名录。</w:t>
            </w:r>
          </w:p>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r>
              <w:rPr>
                <w:rFonts w:hint="eastAsia" w:ascii="宋体" w:hAnsi="宋体" w:cs="宋体"/>
                <w:sz w:val="24"/>
              </w:rPr>
              <w:t>社会效益</w:t>
            </w:r>
          </w:p>
          <w:p>
            <w:pPr>
              <w:rPr>
                <w:rFonts w:ascii="宋体" w:cs="宋体"/>
                <w:sz w:val="24"/>
              </w:rPr>
            </w:pPr>
            <w:r>
              <w:rPr>
                <w:rFonts w:hint="eastAsia" w:ascii="宋体" w:hAnsi="宋体" w:cs="宋体"/>
                <w:sz w:val="24"/>
              </w:rPr>
              <w:t>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r>
              <w:rPr>
                <w:rFonts w:hint="eastAsia"/>
              </w:rPr>
              <w:t>满意度指标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39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bl>
    <w:p>
      <w:pPr>
        <w:spacing w:line="560" w:lineRule="exact"/>
        <w:ind w:firstLine="643" w:firstLineChars="200"/>
        <w:rPr>
          <w:rFonts w:ascii="仿宋" w:hAnsi="仿宋" w:eastAsia="仿宋"/>
          <w:b/>
          <w:bCs/>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173"/>
        <w:gridCol w:w="3465"/>
        <w:gridCol w:w="1148"/>
        <w:gridCol w:w="847"/>
        <w:gridCol w:w="1545"/>
      </w:tblGrid>
      <w:tr>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pPr>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rPr>
              <w:t>9</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宣传调研</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广元市工商业联合会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3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4万元</w:t>
            </w:r>
          </w:p>
        </w:tc>
        <w:tc>
          <w:tcPr>
            <w:tcW w:w="1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3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4万元</w:t>
            </w:r>
          </w:p>
        </w:tc>
        <w:tc>
          <w:tcPr>
            <w:tcW w:w="1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3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1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603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35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439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603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根据《全国工商联关于印发《践行亲清新型政商关系的实施意见（试行）》的通知》（全联发〔2017〕12号）、中共四川省委 四川省人民政府关于促进民营经济健康发展的意见（2018年11月16日）等文件精神，按照分类调研、分类谋划、分类施策、分类推进的原则，丰富宣教工作载体，创新调查研究形式，为较好地服务“两个健康”工作主题营造浓厚的舆论宣传氛围,为全市决战决胜整体连片贫困到同步全面小康跨越、加快建设川陕甘结合部区域中心城市和四川北向东出桥头堡提供理论支撑。</w:t>
            </w:r>
          </w:p>
          <w:p>
            <w:pPr>
              <w:jc w:val="center"/>
              <w:rPr>
                <w:rFonts w:ascii="宋体" w:cs="宋体"/>
                <w:color w:val="000000"/>
                <w:sz w:val="24"/>
              </w:rPr>
            </w:pPr>
          </w:p>
        </w:tc>
        <w:tc>
          <w:tcPr>
            <w:tcW w:w="35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根据《全国工商联关于印发《践行亲清新型政商关系的实施意见（试行）》的通知》（全联发〔2017〕12号）、中共四川省委 四川省人民政府关于促进民营经济健康发展的意见（2018年11月16日）等文件精神，按照分类调研、分类谋划、分类施策、分类推进的原则，丰富宣教工作载体，创新调查研究形式，为较好地服务“两个健康”工作主题营造浓厚的舆论宣传氛围,为全市决战决胜整体连片贫困到同步全面小康跨越、加快建设川陕甘结合部区域中心城市和四川北向东出桥头堡提供理论支撑。</w:t>
            </w:r>
          </w:p>
          <w:p>
            <w:pPr>
              <w:jc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2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数量指标</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735" w:firstLineChars="350"/>
            </w:pPr>
            <w:r>
              <w:rPr>
                <w:rFonts w:hint="eastAsia"/>
              </w:rPr>
              <w:t>指标</w:t>
            </w:r>
            <w:r>
              <w:t>1</w:t>
            </w:r>
            <w:r>
              <w:rPr>
                <w:rFonts w:hint="eastAsia"/>
              </w:rPr>
              <w:t>：</w:t>
            </w:r>
            <w:r>
              <w:t xml:space="preserve"> </w:t>
            </w:r>
            <w:r>
              <w:rPr>
                <w:rFonts w:hint="eastAsia"/>
              </w:rPr>
              <w:t>调研工作持续深化</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扎实做好民营企业调查点工作，填报准确率达90％以上。6月，全省工商联系统民营企业调查点工作培训会在我市召开，来自全国工商联，河北、广东、江苏等省级工商联和省内市州代表近100人参会。我会被全国工商联和省工商联评为“民营企业调查点工作示范单位”，四川百夫长清真饮品公司被授予“全国民营企业调查点工作示范企业”。</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指标</w:t>
            </w:r>
            <w:r>
              <w:t>2</w:t>
            </w:r>
            <w:r>
              <w:rPr>
                <w:rFonts w:hint="eastAsia"/>
              </w:rPr>
              <w:t>：</w:t>
            </w:r>
            <w:r>
              <w:t xml:space="preserve"> </w:t>
            </w:r>
            <w:r>
              <w:rPr>
                <w:rFonts w:hint="eastAsia"/>
              </w:rPr>
              <w:t>认真组织开展专项调研工作</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参与完成拖欠民营企业账款、培育壮大文化旅游企业、民营企业“一带一路”调查等10个调研任务，配合省工商联开展省“民营经济20条”贯彻落实情况等专题调研任务</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指标</w:t>
            </w:r>
            <w:r>
              <w:t>3</w:t>
            </w:r>
            <w:r>
              <w:rPr>
                <w:rFonts w:hint="eastAsia"/>
              </w:rPr>
              <w:t>：</w:t>
            </w:r>
            <w:r>
              <w:t xml:space="preserve"> </w:t>
            </w:r>
            <w:r>
              <w:rPr>
                <w:rFonts w:hint="eastAsia"/>
              </w:rPr>
              <w:t>提炼调研成果</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420" w:firstLineChars="200"/>
            </w:pPr>
            <w:r>
              <w:rPr>
                <w:rFonts w:hint="eastAsia"/>
              </w:rPr>
              <w:t xml:space="preserve">结合我市民营经济、商协会发展实际，会领导班子成员牵头负责1至2个调研课题，围绕企业文化建设、经济类商协会发展、乡村振兴课题等深入走访调研，召开座谈会，摸情况提对策，全市工商联系统形成广元市民营经济发展报告、壮大县域民营经济夯实经济发展基础等理论调研文章21篇，调研报告《新时代发挥民营企业党组织核心领导作用的探索与实践》《发挥商协会作用，助推广元经济高质量发展》被《新蜀商》刊载。 </w:t>
            </w:r>
          </w:p>
          <w:p>
            <w:pPr>
              <w:jc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指标</w:t>
            </w:r>
            <w:r>
              <w:t>1</w:t>
            </w:r>
            <w:r>
              <w:rPr>
                <w:rFonts w:hint="eastAsia"/>
              </w:rPr>
              <w:t>：</w:t>
            </w:r>
            <w:r>
              <w:t xml:space="preserve"> </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63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项目完成指标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质量指标</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指标</w:t>
            </w:r>
            <w:r>
              <w:t>1</w:t>
            </w:r>
            <w:r>
              <w:rPr>
                <w:rFonts w:hint="eastAsia"/>
              </w:rPr>
              <w:t>：</w:t>
            </w:r>
            <w:r>
              <w:t xml:space="preserve"> </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420" w:firstLineChars="200"/>
            </w:pPr>
            <w:r>
              <w:rPr>
                <w:rFonts w:hint="eastAsia"/>
              </w:rPr>
              <w:t>积极引导非公经济代表人士紧紧围绕我市“三个一、三个三”兴广战略建言献策。“两会”期间，工商联界别人大代表、政协委员向省市人大、政协提交建议9件、提案32件，其中：团体提案2件，《关于成立民营企业转贷基金中心的建议》被确定为全市政协系统“十大重点督办提案”。在全市政协全委上的大会发言《关于进一步鼓励支持民营企业参与乡村振兴的建议》《关于进一步加强民营企业家队伍建设的建议》获市委王菲书记批示。在《领导交办事项办理及反馈报告》上，邹自景市长对市工商联反映民营经济发展相关问题作出批示。全年向省工商联上报社情民意24条、党外人士建议12条，团体提案4件。</w:t>
            </w:r>
          </w:p>
          <w:p/>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19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质量指标</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指标</w:t>
            </w:r>
            <w:r>
              <w:t>1</w:t>
            </w:r>
            <w:r>
              <w:rPr>
                <w:rFonts w:hint="eastAsia"/>
              </w:rPr>
              <w:t>：</w:t>
            </w:r>
            <w:r>
              <w:t xml:space="preserve"> </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19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成本指标</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指标</w:t>
            </w:r>
            <w:r>
              <w:t>1</w:t>
            </w:r>
            <w:r>
              <w:rPr>
                <w:rFonts w:hint="eastAsia"/>
              </w:rPr>
              <w:t>：</w:t>
            </w:r>
            <w:r>
              <w:t xml:space="preserve"> </w:t>
            </w:r>
          </w:p>
          <w:p>
            <w:pPr>
              <w:widowControl/>
              <w:jc w:val="center"/>
              <w:textAlignment w:val="center"/>
            </w:pP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43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社会效益指标</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3"/>
              <w:tblW w:w="3860" w:type="dxa"/>
              <w:tblInd w:w="0" w:type="dxa"/>
              <w:tblLayout w:type="fixed"/>
              <w:tblCellMar>
                <w:top w:w="0" w:type="dxa"/>
                <w:left w:w="108" w:type="dxa"/>
                <w:bottom w:w="0" w:type="dxa"/>
                <w:right w:w="108" w:type="dxa"/>
              </w:tblCellMar>
            </w:tblPr>
            <w:tblGrid>
              <w:gridCol w:w="3860"/>
            </w:tblGrid>
            <w:tr>
              <w:tblPrEx>
                <w:tblCellMar>
                  <w:top w:w="0" w:type="dxa"/>
                  <w:left w:w="108" w:type="dxa"/>
                  <w:bottom w:w="0" w:type="dxa"/>
                  <w:right w:w="108" w:type="dxa"/>
                </w:tblCellMar>
              </w:tblPrEx>
              <w:trPr>
                <w:trHeight w:val="2290" w:hRule="atLeast"/>
              </w:trPr>
              <w:tc>
                <w:tcPr>
                  <w:tcW w:w="3860" w:type="dxa"/>
                  <w:tcBorders>
                    <w:top w:val="single" w:color="auto" w:sz="4" w:space="0"/>
                    <w:left w:val="single" w:color="auto" w:sz="4" w:space="0"/>
                    <w:right w:val="single" w:color="auto" w:sz="4" w:space="0"/>
                  </w:tcBorders>
                  <w:vAlign w:val="center"/>
                </w:tcPr>
                <w:p>
                  <w:pPr>
                    <w:widowControl/>
                    <w:jc w:val="left"/>
                  </w:pPr>
                  <w:r>
                    <w:rPr>
                      <w:rFonts w:hint="eastAsia"/>
                    </w:rPr>
                    <w:t>指标</w:t>
                  </w:r>
                  <w:r>
                    <w:t>1</w:t>
                  </w:r>
                  <w:r>
                    <w:rPr>
                      <w:rFonts w:hint="eastAsia"/>
                    </w:rPr>
                    <w:t>：</w:t>
                  </w:r>
                  <w:r>
                    <w:t xml:space="preserve"> </w:t>
                  </w:r>
                </w:p>
                <w:p>
                  <w:pPr>
                    <w:jc w:val="left"/>
                  </w:pPr>
                </w:p>
              </w:tc>
            </w:tr>
          </w:tbl>
          <w:p>
            <w:pPr>
              <w:widowControl/>
              <w:jc w:val="center"/>
              <w:textAlignment w:val="center"/>
            </w:pP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畅通非公经济代表人士有序参与政治生活和社会事务的渠道，帮助其提高议政建言水平，积极反映社情民意</w:t>
            </w:r>
          </w:p>
          <w:p>
            <w:pPr>
              <w:jc w:val="center"/>
            </w:pPr>
            <w:r>
              <w:rPr>
                <w:rFonts w:hint="eastAsia"/>
              </w:rPr>
              <w:t>按照思想政治强、行业代表性强、参政议政能力强、社会信誉好的标准，做好非公经济代表人士的团结、服务、引导和教育工作</w:t>
            </w:r>
          </w:p>
          <w:p>
            <w:pPr>
              <w:widowControl/>
              <w:jc w:val="center"/>
              <w:textAlignment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231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r>
              <w:rPr>
                <w:rFonts w:hint="eastAsia"/>
              </w:rPr>
              <w:t>社会效益指标</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指标</w:t>
            </w:r>
            <w:r>
              <w:t>1</w:t>
            </w:r>
            <w:r>
              <w:rPr>
                <w:rFonts w:hint="eastAsia"/>
              </w:rPr>
              <w:t>：</w:t>
            </w:r>
            <w:r>
              <w:t xml:space="preserve"> </w:t>
            </w:r>
          </w:p>
          <w:p>
            <w:pPr>
              <w:jc w:val="center"/>
            </w:pPr>
            <w:r>
              <w:rPr>
                <w:rFonts w:hint="eastAsia"/>
              </w:rPr>
              <w:t>指标</w:t>
            </w:r>
            <w:r>
              <w:t>2</w:t>
            </w:r>
            <w:r>
              <w:rPr>
                <w:rFonts w:hint="eastAsia"/>
              </w:rPr>
              <w:t>：指标</w:t>
            </w:r>
            <w:r>
              <w:t>3</w:t>
            </w:r>
            <w:r>
              <w:rPr>
                <w:rFonts w:hint="eastAsia"/>
              </w:rPr>
              <w:t>：</w:t>
            </w:r>
            <w:r>
              <w:t xml:space="preserve"> </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满意度指标</w:t>
            </w: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满意度指标</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r>
              <w:t xml:space="preserve"> </w:t>
            </w:r>
            <w:r>
              <w:rPr>
                <w:rFonts w:hint="eastAsia"/>
              </w:rPr>
              <w:t>指标</w:t>
            </w:r>
            <w:r>
              <w:t>1</w:t>
            </w:r>
            <w:r>
              <w:rPr>
                <w:rFonts w:hint="eastAsia"/>
              </w:rPr>
              <w:t>：</w:t>
            </w:r>
            <w:r>
              <w:t xml:space="preserve"> </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r>
              <w:t xml:space="preserve"> </w:t>
            </w:r>
            <w:r>
              <w:rPr>
                <w:rFonts w:hint="eastAsia"/>
              </w:rPr>
              <w:t>指标</w:t>
            </w:r>
            <w:r>
              <w:t>2</w:t>
            </w:r>
            <w:r>
              <w:rPr>
                <w:rFonts w:hint="eastAsia"/>
              </w:rPr>
              <w:t>：</w:t>
            </w:r>
            <w:r>
              <w:t xml:space="preserve"> </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r>
              <w:t xml:space="preserve"> </w:t>
            </w:r>
            <w:r>
              <w:rPr>
                <w:rFonts w:hint="eastAsia"/>
              </w:rPr>
              <w:t>指标</w:t>
            </w:r>
            <w:r>
              <w:t>3</w:t>
            </w:r>
            <w:r>
              <w:rPr>
                <w:rFonts w:hint="eastAsia"/>
              </w:rPr>
              <w:t>：</w:t>
            </w:r>
            <w:r>
              <w:t xml:space="preserve"> </w:t>
            </w: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1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p>
        </w:tc>
      </w:tr>
    </w:tbl>
    <w:p>
      <w:pPr>
        <w:spacing w:line="560" w:lineRule="exact"/>
        <w:ind w:firstLine="420" w:firstLineChars="200"/>
      </w:pPr>
    </w:p>
    <w:p>
      <w:pPr>
        <w:spacing w:line="560" w:lineRule="exact"/>
        <w:ind w:firstLine="643" w:firstLineChars="200"/>
        <w:rPr>
          <w:rFonts w:ascii="仿宋" w:hAnsi="仿宋" w:eastAsia="仿宋"/>
          <w:b/>
          <w:bCs/>
          <w:sz w:val="32"/>
          <w:szCs w:val="32"/>
        </w:rPr>
      </w:pP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（三）部门开展绩效评价结果。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9年部门整体支出绩效评价情况开展自评，《广元市工商业联合会</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9年部门整体支出绩效评价报告》见附件。</w:t>
      </w:r>
    </w:p>
    <w:p>
      <w:pPr>
        <w:autoSpaceDE w:val="0"/>
        <w:autoSpaceDN w:val="0"/>
        <w:adjustRightInd w:val="0"/>
        <w:spacing w:line="600" w:lineRule="exact"/>
        <w:ind w:firstLine="640" w:firstLineChars="200"/>
        <w:jc w:val="left"/>
        <w:rPr>
          <w:rFonts w:ascii="仿宋_GB2312" w:eastAsia="仿宋_GB2312"/>
          <w:color w:val="000000"/>
          <w:sz w:val="32"/>
          <w:szCs w:val="32"/>
        </w:rPr>
      </w:pPr>
    </w:p>
    <w:p>
      <w:pPr>
        <w:numPr>
          <w:ilvl w:val="0"/>
          <w:numId w:val="1"/>
        </w:numPr>
        <w:spacing w:line="600" w:lineRule="exact"/>
        <w:ind w:firstLine="482" w:firstLineChars="150"/>
        <w:jc w:val="center"/>
        <w:outlineLvl w:val="0"/>
        <w:rPr>
          <w:rStyle w:val="17"/>
          <w:rFonts w:ascii="黑体" w:hAnsi="黑体" w:eastAsia="黑体"/>
          <w:b w:val="0"/>
        </w:rPr>
      </w:pPr>
      <w:r>
        <w:rPr>
          <w:rFonts w:ascii="仿宋_GB2312" w:eastAsia="仿宋_GB2312"/>
          <w:b/>
          <w:color w:val="000000"/>
          <w:sz w:val="32"/>
          <w:szCs w:val="32"/>
        </w:rPr>
        <w:t xml:space="preserve">   </w:t>
      </w:r>
      <w:bookmarkStart w:id="31" w:name="_Toc15377225"/>
      <w:bookmarkStart w:id="32" w:name="_Toc15396613"/>
      <w:r>
        <w:rPr>
          <w:rFonts w:hint="eastAsia" w:ascii="黑体" w:hAnsi="黑体" w:eastAsia="黑体"/>
          <w:b/>
          <w:color w:val="000000"/>
          <w:sz w:val="44"/>
          <w:szCs w:val="44"/>
        </w:rPr>
        <w:t>名</w:t>
      </w:r>
      <w:r>
        <w:rPr>
          <w:rStyle w:val="17"/>
          <w:rFonts w:hint="eastAsia" w:ascii="黑体" w:hAnsi="黑体" w:eastAsia="黑体"/>
          <w:b w:val="0"/>
        </w:rPr>
        <w:t>词解释</w:t>
      </w:r>
      <w:bookmarkEnd w:id="31"/>
      <w:bookmarkEnd w:id="32"/>
    </w:p>
    <w:p>
      <w:pPr>
        <w:spacing w:line="600" w:lineRule="atLeas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财政拨款收入：指市级财政当年拨付的资金。</w:t>
      </w:r>
      <w:r>
        <w:rPr>
          <w:rFonts w:ascii="仿宋_GB2312" w:eastAsia="仿宋_GB2312"/>
          <w:color w:val="000000"/>
          <w:sz w:val="32"/>
          <w:szCs w:val="32"/>
        </w:rPr>
        <w:t> </w:t>
      </w:r>
      <w:r>
        <w:rPr>
          <w:rFonts w:ascii="仿宋_GB2312" w:eastAsia="仿宋_GB2312"/>
          <w:color w:val="000000"/>
          <w:sz w:val="32"/>
          <w:szCs w:val="32"/>
        </w:rPr>
        <w:br w:type="textWrapping"/>
      </w:r>
      <w:r>
        <w:rPr>
          <w:rFonts w:ascii="仿宋_GB2312" w:eastAsia="仿宋_GB2312"/>
          <w:color w:val="000000"/>
          <w:sz w:val="32"/>
          <w:szCs w:val="32"/>
        </w:rPr>
        <w:t>2.</w:t>
      </w:r>
      <w:r>
        <w:rPr>
          <w:rFonts w:hint="eastAsia" w:ascii="仿宋_GB2312" w:eastAsia="仿宋_GB2312"/>
          <w:color w:val="000000"/>
          <w:sz w:val="32"/>
          <w:szCs w:val="32"/>
        </w:rPr>
        <w:t>年初结转和结余：指以前年度尚未完成、结转到本年按有关规定继续使用的资金。</w:t>
      </w:r>
      <w:r>
        <w:rPr>
          <w:rFonts w:ascii="仿宋_GB2312" w:eastAsia="仿宋_GB2312"/>
          <w:color w:val="000000"/>
          <w:sz w:val="32"/>
          <w:szCs w:val="32"/>
        </w:rPr>
        <w:t> </w:t>
      </w:r>
      <w:r>
        <w:rPr>
          <w:rFonts w:ascii="仿宋_GB2312" w:eastAsia="仿宋_GB2312"/>
          <w:color w:val="000000"/>
          <w:sz w:val="32"/>
          <w:szCs w:val="32"/>
        </w:rPr>
        <w:br w:type="textWrapping"/>
      </w:r>
      <w:r>
        <w:rPr>
          <w:rFonts w:ascii="仿宋_GB2312" w:eastAsia="仿宋_GB2312"/>
          <w:color w:val="000000"/>
          <w:sz w:val="32"/>
          <w:szCs w:val="32"/>
        </w:rPr>
        <w:t>3.</w:t>
      </w:r>
      <w:r>
        <w:rPr>
          <w:rFonts w:hint="eastAsia" w:ascii="仿宋_GB2312" w:eastAsia="仿宋_GB2312"/>
          <w:color w:val="000000"/>
          <w:sz w:val="32"/>
          <w:szCs w:val="32"/>
        </w:rPr>
        <w:t>一般公共服务支出群众团体事务</w:t>
      </w:r>
      <w:r>
        <w:rPr>
          <w:rFonts w:ascii="仿宋_GB2312" w:eastAsia="仿宋_GB2312"/>
          <w:color w:val="000000"/>
          <w:sz w:val="32"/>
          <w:szCs w:val="32"/>
        </w:rPr>
        <w:t>  </w:t>
      </w:r>
      <w:r>
        <w:rPr>
          <w:rFonts w:hint="eastAsia" w:ascii="仿宋_GB2312" w:eastAsia="仿宋_GB2312"/>
          <w:color w:val="000000"/>
          <w:sz w:val="32"/>
          <w:szCs w:val="32"/>
        </w:rPr>
        <w:t>行政运行指群团部门日常运转经费开支，包括水费、电费、办公费、差旅费印刷费等；一般行政管理事务，指群团部门开展业务项目工作专项经费支出。</w:t>
      </w:r>
      <w:r>
        <w:rPr>
          <w:rFonts w:ascii="仿宋_GB2312" w:eastAsia="仿宋_GB2312"/>
          <w:color w:val="000000"/>
          <w:sz w:val="32"/>
          <w:szCs w:val="32"/>
        </w:rPr>
        <w:br w:type="textWrapping"/>
      </w:r>
      <w:r>
        <w:rPr>
          <w:rFonts w:ascii="仿宋_GB2312" w:eastAsia="仿宋_GB2312"/>
          <w:color w:val="000000"/>
          <w:sz w:val="32"/>
          <w:szCs w:val="32"/>
        </w:rPr>
        <w:t>4.</w:t>
      </w:r>
      <w:r>
        <w:rPr>
          <w:rFonts w:hint="eastAsia" w:ascii="仿宋_GB2312" w:eastAsia="仿宋_GB2312"/>
          <w:color w:val="000000"/>
          <w:sz w:val="32"/>
          <w:szCs w:val="32"/>
        </w:rPr>
        <w:t>社会保障和就业</w:t>
      </w:r>
      <w:r>
        <w:rPr>
          <w:rFonts w:ascii="仿宋_GB2312" w:eastAsia="仿宋_GB2312"/>
          <w:color w:val="000000"/>
          <w:sz w:val="32"/>
          <w:szCs w:val="32"/>
        </w:rPr>
        <w:t> </w:t>
      </w:r>
      <w:r>
        <w:rPr>
          <w:rFonts w:hint="eastAsia" w:ascii="仿宋_GB2312" w:eastAsia="仿宋_GB2312"/>
          <w:color w:val="000000"/>
          <w:sz w:val="32"/>
          <w:szCs w:val="32"/>
        </w:rPr>
        <w:t>行政事业单位离退休</w:t>
      </w:r>
      <w:r>
        <w:rPr>
          <w:rFonts w:ascii="仿宋_GB2312" w:eastAsia="仿宋_GB2312"/>
          <w:color w:val="000000"/>
          <w:sz w:val="32"/>
          <w:szCs w:val="32"/>
        </w:rPr>
        <w:t>  </w:t>
      </w:r>
      <w:r>
        <w:rPr>
          <w:rFonts w:hint="eastAsia" w:ascii="仿宋_GB2312" w:eastAsia="仿宋_GB2312"/>
          <w:color w:val="000000"/>
          <w:sz w:val="32"/>
          <w:szCs w:val="32"/>
        </w:rPr>
        <w:t>机关事业单位基本养老保险缴费支出，指行政事业单位职工养老保险支出。</w:t>
      </w:r>
      <w:r>
        <w:rPr>
          <w:rFonts w:ascii="仿宋_GB2312" w:eastAsia="仿宋_GB2312"/>
          <w:color w:val="000000"/>
          <w:sz w:val="32"/>
          <w:szCs w:val="32"/>
        </w:rPr>
        <w:br w:type="textWrapping"/>
      </w:r>
      <w:r>
        <w:rPr>
          <w:rFonts w:ascii="仿宋_GB2312" w:eastAsia="仿宋_GB2312"/>
          <w:color w:val="000000"/>
          <w:sz w:val="32"/>
          <w:szCs w:val="32"/>
        </w:rPr>
        <w:t>5. </w:t>
      </w:r>
      <w:r>
        <w:rPr>
          <w:rFonts w:hint="eastAsia" w:ascii="仿宋_GB2312" w:eastAsia="仿宋_GB2312"/>
          <w:color w:val="000000"/>
          <w:sz w:val="32"/>
          <w:szCs w:val="32"/>
        </w:rPr>
        <w:t>医疗卫生与计划生育支出医疗保障行政单位医疗，指行政事业单位职工医疗保险费用支出。</w:t>
      </w:r>
      <w:r>
        <w:rPr>
          <w:rFonts w:ascii="仿宋_GB2312" w:eastAsia="仿宋_GB2312"/>
          <w:color w:val="000000"/>
          <w:sz w:val="32"/>
          <w:szCs w:val="32"/>
        </w:rPr>
        <w:br w:type="textWrapping"/>
      </w:r>
      <w:r>
        <w:rPr>
          <w:rFonts w:ascii="仿宋_GB2312" w:eastAsia="仿宋_GB2312"/>
          <w:color w:val="000000"/>
          <w:sz w:val="32"/>
          <w:szCs w:val="32"/>
        </w:rPr>
        <w:t>6. </w:t>
      </w:r>
      <w:r>
        <w:rPr>
          <w:rFonts w:hint="eastAsia" w:ascii="仿宋_GB2312" w:eastAsia="仿宋_GB2312"/>
          <w:color w:val="000000"/>
          <w:sz w:val="32"/>
          <w:szCs w:val="32"/>
        </w:rPr>
        <w:t>住房保障支出住房改革性支出住房公积金，指行政事业单位职工住房公积金费用支出。</w:t>
      </w:r>
      <w:r>
        <w:rPr>
          <w:rFonts w:ascii="仿宋_GB2312" w:eastAsia="仿宋_GB2312"/>
          <w:color w:val="000000"/>
          <w:sz w:val="32"/>
          <w:szCs w:val="32"/>
        </w:rPr>
        <w:br w:type="textWrapping"/>
      </w:r>
      <w:r>
        <w:rPr>
          <w:rFonts w:ascii="仿宋_GB2312" w:eastAsia="仿宋_GB2312"/>
          <w:color w:val="000000"/>
          <w:sz w:val="32"/>
          <w:szCs w:val="32"/>
        </w:rPr>
        <w:t>7.</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r>
        <w:rPr>
          <w:rFonts w:ascii="仿宋_GB2312" w:eastAsia="仿宋_GB2312"/>
          <w:color w:val="000000"/>
          <w:sz w:val="32"/>
          <w:szCs w:val="32"/>
        </w:rPr>
        <w:br w:type="textWrapping"/>
      </w:r>
      <w:r>
        <w:rPr>
          <w:rFonts w:ascii="仿宋_GB2312" w:eastAsia="仿宋_GB2312"/>
          <w:color w:val="000000"/>
          <w:sz w:val="32"/>
          <w:szCs w:val="32"/>
        </w:rPr>
        <w:t>8.</w:t>
      </w:r>
      <w:r>
        <w:rPr>
          <w:rFonts w:hint="eastAsia" w:ascii="仿宋_GB2312" w:eastAsia="仿宋_GB2312"/>
          <w:color w:val="000000"/>
          <w:sz w:val="32"/>
          <w:szCs w:val="32"/>
        </w:rPr>
        <w:t>基本支出：指为保障机构正常运转、完成日常工作任务而发生的人员支出和公用支出。</w:t>
      </w:r>
      <w:r>
        <w:rPr>
          <w:rFonts w:ascii="仿宋_GB2312" w:eastAsia="仿宋_GB2312"/>
          <w:color w:val="000000"/>
          <w:sz w:val="32"/>
          <w:szCs w:val="32"/>
        </w:rPr>
        <w:br w:type="textWrapping"/>
      </w:r>
      <w:r>
        <w:rPr>
          <w:rFonts w:ascii="仿宋_GB2312" w:eastAsia="仿宋_GB2312"/>
          <w:color w:val="000000"/>
          <w:sz w:val="32"/>
          <w:szCs w:val="32"/>
        </w:rPr>
        <w:t>9.</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w:t>
      </w:r>
      <w:r>
        <w:rPr>
          <w:rFonts w:ascii="仿宋_GB2312" w:eastAsia="仿宋_GB2312"/>
          <w:color w:val="000000"/>
          <w:sz w:val="32"/>
          <w:szCs w:val="32"/>
        </w:rPr>
        <w:br w:type="textWrapping"/>
      </w:r>
      <w:r>
        <w:rPr>
          <w:rFonts w:ascii="仿宋_GB2312" w:eastAsia="仿宋_GB2312"/>
          <w:color w:val="000000"/>
          <w:sz w:val="32"/>
          <w:szCs w:val="32"/>
        </w:rPr>
        <w:t>10.“</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经费：纳入市级财政预决算管理的</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eastAsia="仿宋_GB2312"/>
          <w:color w:val="000000"/>
          <w:sz w:val="32"/>
          <w:szCs w:val="32"/>
        </w:rPr>
        <w:br w:type="textWrapping"/>
      </w:r>
      <w:r>
        <w:rPr>
          <w:rFonts w:ascii="仿宋_GB2312" w:eastAsia="仿宋_GB2312"/>
          <w:color w:val="000000"/>
          <w:sz w:val="32"/>
          <w:szCs w:val="32"/>
        </w:rPr>
        <w:t>11.</w:t>
      </w:r>
      <w:r>
        <w:rPr>
          <w:rFonts w:hint="eastAsia" w:ascii="仿宋_GB2312" w:eastAsia="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80" w:firstLineChars="200"/>
        <w:jc w:val="center"/>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p>
    <w:p>
      <w:pPr>
        <w:spacing w:line="600" w:lineRule="exact"/>
        <w:jc w:val="left"/>
        <w:outlineLvl w:val="0"/>
        <w:rPr>
          <w:rFonts w:ascii="方正小标宋简体" w:hAnsi="方正小标宋简体" w:eastAsia="方正小标宋简体" w:cs="方正小标宋简体"/>
          <w:sz w:val="32"/>
          <w:szCs w:val="32"/>
        </w:rPr>
      </w:pPr>
      <w:bookmarkStart w:id="33" w:name="_Toc15396616"/>
      <w:r>
        <w:rPr>
          <w:rFonts w:hint="eastAsia" w:ascii="黑体" w:hAnsi="黑体" w:eastAsia="黑体" w:cs="黑体"/>
          <w:sz w:val="32"/>
          <w:szCs w:val="32"/>
        </w:rPr>
        <w:t>附件</w:t>
      </w:r>
      <w:r>
        <w:rPr>
          <w:rFonts w:ascii="黑体" w:hAnsi="黑体" w:eastAsia="黑体" w:cs="黑体"/>
          <w:sz w:val="32"/>
          <w:szCs w:val="32"/>
        </w:rPr>
        <w:t>1</w:t>
      </w:r>
    </w:p>
    <w:p>
      <w:pPr>
        <w:spacing w:line="600" w:lineRule="exact"/>
        <w:jc w:val="center"/>
        <w:outlineLvl w:val="0"/>
        <w:rPr>
          <w:rFonts w:ascii="黑体" w:hAnsi="黑体" w:eastAsia="黑体" w:cs="方正小标宋简体"/>
          <w:sz w:val="36"/>
          <w:szCs w:val="36"/>
        </w:rPr>
      </w:pP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广元市工商业联合会</w:t>
      </w:r>
    </w:p>
    <w:p>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w:t>
      </w:r>
      <w:r>
        <w:rPr>
          <w:rFonts w:hint="eastAsia" w:ascii="黑体" w:hAnsi="黑体" w:eastAsia="黑体" w:cs="方正小标宋简体"/>
          <w:sz w:val="36"/>
          <w:szCs w:val="36"/>
        </w:rPr>
        <w:t>9年部门整体支出绩效评价报告</w:t>
      </w:r>
      <w:bookmarkEnd w:id="33"/>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（一）机构组成</w:t>
      </w:r>
    </w:p>
    <w:p>
      <w:pPr>
        <w:spacing w:line="600" w:lineRule="exact"/>
        <w:ind w:firstLine="624" w:firstLineChars="200"/>
        <w:outlineLvl w:val="1"/>
        <w:rPr>
          <w:rFonts w:ascii="仿宋" w:hAnsi="仿宋" w:eastAsia="仿宋"/>
          <w:color w:val="000000"/>
          <w:sz w:val="32"/>
          <w:szCs w:val="32"/>
        </w:rPr>
      </w:pPr>
      <w:r>
        <w:rPr>
          <w:rFonts w:ascii="仿宋_GB2312" w:eastAsia="仿宋_GB2312"/>
          <w:color w:val="000000"/>
          <w:spacing w:val="-4"/>
          <w:sz w:val="32"/>
          <w:szCs w:val="32"/>
        </w:rPr>
        <w:t xml:space="preserve">  </w:t>
      </w:r>
      <w:r>
        <w:rPr>
          <w:rFonts w:hint="eastAsia" w:ascii="仿宋" w:hAnsi="仿宋" w:eastAsia="仿宋"/>
          <w:color w:val="000000"/>
          <w:sz w:val="32"/>
          <w:szCs w:val="32"/>
        </w:rPr>
        <w:t>内设机构为“四部一室”，即：办公室、调研维权部、会员部、经济联络部、直属商协会党建工作部。</w:t>
      </w:r>
    </w:p>
    <w:p>
      <w:pPr>
        <w:spacing w:line="580" w:lineRule="exact"/>
        <w:ind w:firstLine="624" w:firstLineChars="200"/>
        <w:rPr>
          <w:rFonts w:ascii="仿宋_GB2312" w:eastAsia="仿宋_GB2312"/>
          <w:color w:val="000000"/>
          <w:spacing w:val="-4"/>
          <w:sz w:val="32"/>
          <w:szCs w:val="32"/>
        </w:rPr>
      </w:pPr>
      <w:r>
        <w:rPr>
          <w:rFonts w:ascii="仿宋_GB2312" w:eastAsia="仿宋_GB2312"/>
          <w:color w:val="000000"/>
          <w:spacing w:val="-4"/>
          <w:sz w:val="32"/>
          <w:szCs w:val="32"/>
        </w:rPr>
        <w:t>(</w:t>
      </w:r>
      <w:r>
        <w:rPr>
          <w:rFonts w:hint="eastAsia" w:ascii="仿宋_GB2312" w:eastAsia="仿宋_GB2312"/>
          <w:color w:val="000000"/>
          <w:spacing w:val="-4"/>
          <w:sz w:val="32"/>
          <w:szCs w:val="32"/>
        </w:rPr>
        <w:t>二</w:t>
      </w:r>
      <w:r>
        <w:rPr>
          <w:rFonts w:ascii="仿宋_GB2312" w:eastAsia="仿宋_GB2312"/>
          <w:color w:val="000000"/>
          <w:spacing w:val="-4"/>
          <w:sz w:val="32"/>
          <w:szCs w:val="32"/>
        </w:rPr>
        <w:t>)</w:t>
      </w:r>
      <w:r>
        <w:rPr>
          <w:rFonts w:hint="eastAsia" w:ascii="仿宋_GB2312" w:eastAsia="仿宋_GB2312"/>
          <w:color w:val="000000"/>
          <w:spacing w:val="-4"/>
          <w:sz w:val="32"/>
          <w:szCs w:val="32"/>
        </w:rPr>
        <w:t>机构职能：</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、参与市委、市政府大政方针及政治、经济、社会生活中的重要问题的政治协商，发挥民主监督作用，参政议政。</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、引导会员积极参加国家经济建设，推动社会主义市场经济体制逐步完善。</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、做好工商界代表人士政治安排的推荐工作。</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、指导同业公会和行业商会等专业组织的工作。</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、发扬自我教育的优良传统，宣传、贯彻党和国家</w:t>
      </w:r>
      <w:r>
        <w:rPr>
          <w:rFonts w:ascii="仿宋" w:hAnsi="仿宋" w:eastAsia="仿宋"/>
          <w:color w:val="000000"/>
          <w:sz w:val="32"/>
          <w:szCs w:val="32"/>
        </w:rPr>
        <w:t xml:space="preserve">  </w:t>
      </w:r>
      <w:r>
        <w:rPr>
          <w:rFonts w:hint="eastAsia" w:ascii="仿宋" w:hAnsi="仿宋" w:eastAsia="仿宋"/>
          <w:color w:val="000000"/>
          <w:sz w:val="32"/>
          <w:szCs w:val="32"/>
        </w:rPr>
        <w:t>的方针政策，加强和改进思想政治工作，坚持对广大会员进行团结、帮助、引导、教育，促进非公有制经济健康发展，提倡爱国、敬业、守法，提高会员素质，培养积极分子队伍。</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、代表并维护会员的合法权益，反映会员的意见、要求和建议；为会员提供有关证明，协调关系，参与调解经济纠纷。</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引导会员把自身企业的发展与国家发展结合起来，把个人富裕与全体人民的共同富裕结合起来，把遵守市场规则与发扬社会主义道德结合起来，弘扬中华民族传统美德，先富帮后富，走共同富裕的道路，热心社会公益事业，积极参加扶贫光彩事业。</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、为会员提供信，息、培训、科技、管理、法律、会计、审计、融资、咨询等服务，帮助会员改进经营管理，完善财会制度，照章纳税，提高自身素质和生产技术、产品质量等。</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组织会员出国、出境考察访问，举办和参加各种对内对外展销会、交易会，帮助会员开拓国内、国际市场；增进与港澳特别行政区、台湾地区和世界各国工商社团及工商经济界人士的联系和友谊，促进经济、技弋和贸易合作的发展，协助引进资金、技术、人才。</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、办好会办企业、事业。</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、承办市委、市府交办和有关部门委托的事项。</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（三）人员概况。</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市工商业联合会总编制</w:t>
      </w:r>
      <w:r>
        <w:rPr>
          <w:rFonts w:ascii="仿宋" w:hAnsi="仿宋" w:eastAsia="仿宋"/>
          <w:color w:val="000000"/>
          <w:sz w:val="32"/>
          <w:szCs w:val="32"/>
        </w:rPr>
        <w:t>17</w:t>
      </w:r>
      <w:r>
        <w:rPr>
          <w:rFonts w:hint="eastAsia" w:ascii="仿宋" w:hAnsi="仿宋" w:eastAsia="仿宋"/>
          <w:color w:val="000000"/>
          <w:sz w:val="32"/>
          <w:szCs w:val="32"/>
        </w:rPr>
        <w:t>名，其中行政编制</w:t>
      </w:r>
      <w:r>
        <w:rPr>
          <w:rFonts w:ascii="仿宋" w:hAnsi="仿宋" w:eastAsia="仿宋"/>
          <w:color w:val="000000"/>
          <w:sz w:val="32"/>
          <w:szCs w:val="32"/>
        </w:rPr>
        <w:t>11</w:t>
      </w:r>
      <w:r>
        <w:rPr>
          <w:rFonts w:hint="eastAsia" w:ascii="仿宋" w:hAnsi="仿宋" w:eastAsia="仿宋"/>
          <w:color w:val="000000"/>
          <w:sz w:val="32"/>
          <w:szCs w:val="32"/>
        </w:rPr>
        <w:t>名，其他事业编制</w:t>
      </w:r>
      <w:r>
        <w:rPr>
          <w:rFonts w:ascii="仿宋" w:hAnsi="仿宋" w:eastAsia="仿宋"/>
          <w:color w:val="000000"/>
          <w:sz w:val="32"/>
          <w:szCs w:val="32"/>
        </w:rPr>
        <w:t>4</w:t>
      </w:r>
      <w:r>
        <w:rPr>
          <w:rFonts w:hint="eastAsia" w:ascii="仿宋" w:hAnsi="仿宋" w:eastAsia="仿宋"/>
          <w:color w:val="000000"/>
          <w:sz w:val="32"/>
          <w:szCs w:val="32"/>
        </w:rPr>
        <w:t>名，工勤编制</w:t>
      </w:r>
      <w:r>
        <w:rPr>
          <w:rFonts w:ascii="仿宋" w:hAnsi="仿宋" w:eastAsia="仿宋"/>
          <w:color w:val="000000"/>
          <w:sz w:val="32"/>
          <w:szCs w:val="32"/>
        </w:rPr>
        <w:t>2</w:t>
      </w:r>
      <w:r>
        <w:rPr>
          <w:rFonts w:hint="eastAsia" w:ascii="仿宋" w:hAnsi="仿宋" w:eastAsia="仿宋"/>
          <w:color w:val="000000"/>
          <w:sz w:val="32"/>
          <w:szCs w:val="32"/>
        </w:rPr>
        <w:t>名。在职人员总数</w:t>
      </w:r>
      <w:r>
        <w:rPr>
          <w:rFonts w:ascii="仿宋" w:hAnsi="仿宋" w:eastAsia="仿宋"/>
          <w:color w:val="000000"/>
          <w:sz w:val="32"/>
          <w:szCs w:val="32"/>
        </w:rPr>
        <w:t>1</w:t>
      </w:r>
      <w:r>
        <w:rPr>
          <w:rFonts w:hint="eastAsia" w:ascii="仿宋" w:hAnsi="仿宋" w:eastAsia="仿宋"/>
          <w:color w:val="000000"/>
          <w:sz w:val="32"/>
          <w:szCs w:val="32"/>
        </w:rPr>
        <w:t>5人，其中行政人员9人，其他事业人员</w:t>
      </w:r>
      <w:r>
        <w:rPr>
          <w:rFonts w:ascii="仿宋" w:hAnsi="仿宋" w:eastAsia="仿宋"/>
          <w:color w:val="000000"/>
          <w:sz w:val="32"/>
          <w:szCs w:val="32"/>
        </w:rPr>
        <w:t>6</w:t>
      </w:r>
      <w:r>
        <w:rPr>
          <w:rFonts w:hint="eastAsia" w:ascii="仿宋" w:hAnsi="仿宋" w:eastAsia="仿宋"/>
          <w:color w:val="000000"/>
          <w:sz w:val="32"/>
          <w:szCs w:val="32"/>
        </w:rPr>
        <w:t>人；退休人员</w:t>
      </w:r>
      <w:r>
        <w:rPr>
          <w:rFonts w:ascii="仿宋" w:hAnsi="仿宋" w:eastAsia="仿宋"/>
          <w:color w:val="000000"/>
          <w:sz w:val="32"/>
          <w:szCs w:val="32"/>
        </w:rPr>
        <w:t>1</w:t>
      </w:r>
      <w:r>
        <w:rPr>
          <w:rFonts w:hint="eastAsia" w:ascii="仿宋" w:hAnsi="仿宋" w:eastAsia="仿宋"/>
          <w:color w:val="000000"/>
          <w:sz w:val="32"/>
          <w:szCs w:val="32"/>
        </w:rPr>
        <w:t>5人。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9年本年收入合计321.3万元。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p>
    <w:p>
      <w:pPr>
        <w:pStyle w:val="12"/>
        <w:spacing w:after="0" w:line="560" w:lineRule="exact"/>
        <w:ind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9年本年支出合计318.12万元，其中：基本支出291.12万元，占92</w:t>
      </w:r>
      <w:r>
        <w:rPr>
          <w:rFonts w:ascii="仿宋" w:hAnsi="仿宋" w:eastAsia="仿宋"/>
          <w:color w:val="000000"/>
          <w:sz w:val="32"/>
          <w:szCs w:val="32"/>
        </w:rPr>
        <w:t>%</w:t>
      </w:r>
      <w:r>
        <w:rPr>
          <w:rFonts w:hint="eastAsia" w:ascii="仿宋" w:hAnsi="仿宋" w:eastAsia="仿宋"/>
          <w:color w:val="000000"/>
          <w:sz w:val="32"/>
          <w:szCs w:val="32"/>
        </w:rPr>
        <w:t>；项目支出27万元，占8</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按照预算绩效管理要求，本部门对</w:t>
      </w:r>
      <w:r>
        <w:rPr>
          <w:rFonts w:ascii="仿宋" w:hAnsi="仿宋" w:eastAsia="仿宋"/>
          <w:sz w:val="32"/>
          <w:szCs w:val="32"/>
        </w:rPr>
        <w:t>201</w:t>
      </w:r>
      <w:r>
        <w:rPr>
          <w:rFonts w:hint="eastAsia" w:ascii="仿宋" w:hAnsi="仿宋" w:eastAsia="仿宋"/>
          <w:sz w:val="32"/>
          <w:szCs w:val="32"/>
        </w:rPr>
        <w:t>9年一般公共预算项目支出开展了绩效目标管理，共编制绩效目标8个，涉及财政资金27万元，覆盖率达到</w:t>
      </w:r>
      <w:r>
        <w:rPr>
          <w:rFonts w:ascii="仿宋" w:hAnsi="仿宋" w:eastAsia="仿宋"/>
          <w:sz w:val="32"/>
          <w:szCs w:val="32"/>
        </w:rPr>
        <w:t>100%</w:t>
      </w:r>
      <w:r>
        <w:rPr>
          <w:rFonts w:hint="eastAsia" w:ascii="仿宋" w:hAnsi="仿宋" w:eastAsia="仿宋"/>
          <w:sz w:val="32"/>
          <w:szCs w:val="32"/>
        </w:rPr>
        <w:t>。主要用于：东西部扶贫协作、民营企业直报、招商引资、宣传调研、经济服务、万企帮万村、脱贫攻坚、经贸联络等项目。</w:t>
      </w:r>
    </w:p>
    <w:p>
      <w:pPr>
        <w:pStyle w:val="12"/>
        <w:spacing w:after="0"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9年，我会严格按照市人民政府和市财政局关于编制</w:t>
      </w:r>
      <w:r>
        <w:rPr>
          <w:rFonts w:ascii="仿宋" w:hAnsi="仿宋" w:eastAsia="仿宋"/>
          <w:sz w:val="32"/>
          <w:szCs w:val="32"/>
        </w:rPr>
        <w:t>201</w:t>
      </w:r>
      <w:r>
        <w:rPr>
          <w:rFonts w:hint="eastAsia" w:ascii="仿宋" w:hAnsi="仿宋" w:eastAsia="仿宋"/>
          <w:sz w:val="32"/>
          <w:szCs w:val="32"/>
        </w:rPr>
        <w:t>9年部门预算的通知有关规定和要求按时报送基础库、项目库，按时编制</w:t>
      </w:r>
      <w:r>
        <w:rPr>
          <w:rFonts w:ascii="仿宋" w:hAnsi="仿宋" w:eastAsia="仿宋"/>
          <w:sz w:val="32"/>
          <w:szCs w:val="32"/>
        </w:rPr>
        <w:t>201</w:t>
      </w:r>
      <w:r>
        <w:rPr>
          <w:rFonts w:hint="eastAsia" w:ascii="仿宋" w:hAnsi="仿宋" w:eastAsia="仿宋"/>
          <w:sz w:val="32"/>
          <w:szCs w:val="32"/>
        </w:rPr>
        <w:t>9年部门预算，对各项收入、支出预算的编制做到了完整、准确、规范。严格执行部门预算编制的审批程序，按时按质完成了预算编制工作。</w:t>
      </w:r>
    </w:p>
    <w:p>
      <w:pPr>
        <w:pStyle w:val="12"/>
        <w:spacing w:after="0" w:line="600" w:lineRule="exact"/>
        <w:ind w:firstLine="640" w:firstLineChars="200"/>
        <w:rPr>
          <w:rFonts w:ascii="仿宋" w:hAnsi="仿宋" w:eastAsia="仿宋"/>
          <w:sz w:val="32"/>
          <w:szCs w:val="32"/>
        </w:rPr>
      </w:pPr>
      <w:r>
        <w:rPr>
          <w:rFonts w:hint="eastAsia" w:ascii="仿宋" w:hAnsi="仿宋" w:eastAsia="仿宋"/>
          <w:sz w:val="32"/>
          <w:szCs w:val="32"/>
        </w:rPr>
        <w:t>预算执行情况</w:t>
      </w:r>
      <w:r>
        <w:rPr>
          <w:rFonts w:ascii="仿宋" w:hAnsi="仿宋" w:eastAsia="仿宋"/>
          <w:sz w:val="32"/>
          <w:szCs w:val="32"/>
        </w:rPr>
        <w:t>:</w:t>
      </w:r>
    </w:p>
    <w:p>
      <w:pPr>
        <w:pStyle w:val="12"/>
        <w:spacing w:after="0" w:line="600" w:lineRule="exact"/>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）预算执行刚性。</w:t>
      </w:r>
      <w:r>
        <w:rPr>
          <w:rFonts w:ascii="仿宋" w:hAnsi="仿宋" w:eastAsia="仿宋"/>
          <w:sz w:val="32"/>
          <w:szCs w:val="32"/>
        </w:rPr>
        <w:t>201</w:t>
      </w:r>
      <w:r>
        <w:rPr>
          <w:rFonts w:hint="eastAsia" w:ascii="仿宋" w:hAnsi="仿宋" w:eastAsia="仿宋"/>
          <w:sz w:val="32"/>
          <w:szCs w:val="32"/>
        </w:rPr>
        <w:t>9年，我会严格执行了预算，执行中未调整预算项目。</w:t>
      </w:r>
    </w:p>
    <w:p>
      <w:pPr>
        <w:pStyle w:val="12"/>
        <w:spacing w:after="0" w:line="600" w:lineRule="exact"/>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）预算执行平衡。</w:t>
      </w:r>
      <w:r>
        <w:rPr>
          <w:rFonts w:ascii="仿宋" w:hAnsi="仿宋" w:eastAsia="仿宋"/>
          <w:sz w:val="32"/>
          <w:szCs w:val="32"/>
        </w:rPr>
        <w:t>201</w:t>
      </w:r>
      <w:r>
        <w:rPr>
          <w:rFonts w:hint="eastAsia" w:ascii="仿宋" w:hAnsi="仿宋" w:eastAsia="仿宋"/>
          <w:sz w:val="32"/>
          <w:szCs w:val="32"/>
        </w:rPr>
        <w:t>9年，我会年度预算执行做到了收支平衡，圆满完成了本部门经济和社会事业发展职能职责；人员支出部分均按时间进度执行，年终未出现政策规定外的硬缺口。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600" w:lineRule="exact"/>
        <w:ind w:firstLine="960" w:firstLineChars="300"/>
        <w:rPr>
          <w:rFonts w:ascii="仿宋" w:hAnsi="仿宋" w:eastAsia="仿宋" w:cs="仿宋_GB2312"/>
          <w:sz w:val="32"/>
          <w:szCs w:val="32"/>
        </w:rPr>
      </w:pPr>
      <w:r>
        <w:rPr>
          <w:rFonts w:hint="eastAsia" w:ascii="仿宋" w:hAnsi="仿宋" w:eastAsia="仿宋"/>
          <w:sz w:val="32"/>
          <w:szCs w:val="32"/>
        </w:rPr>
        <w:t>东西部扶贫协作、民营企业直报、招商引资、宣传调研、经济服务、万企帮万村、脱贫攻坚、经贸联络等项目</w:t>
      </w:r>
      <w:r>
        <w:rPr>
          <w:rFonts w:hint="eastAsia" w:ascii="仿宋" w:hAnsi="仿宋" w:eastAsia="仿宋" w:cs="仿宋_GB2312"/>
          <w:sz w:val="32"/>
          <w:szCs w:val="32"/>
        </w:rPr>
        <w:t>绩效情况。</w:t>
      </w:r>
    </w:p>
    <w:p>
      <w:pPr>
        <w:spacing w:line="6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）基本情况。年初，市财政共预算我会</w:t>
      </w:r>
      <w:r>
        <w:rPr>
          <w:rFonts w:hint="eastAsia" w:ascii="仿宋" w:hAnsi="仿宋" w:eastAsia="仿宋"/>
          <w:sz w:val="32"/>
          <w:szCs w:val="32"/>
        </w:rPr>
        <w:t>东西部扶贫协作、民营企业直报、招商引资、宣传调研、经济服务、万企帮万村、脱贫攻坚、经贸联络等</w:t>
      </w:r>
      <w:r>
        <w:rPr>
          <w:rFonts w:hint="eastAsia" w:ascii="仿宋" w:hAnsi="仿宋" w:eastAsia="仿宋" w:cs="仿宋_GB2312"/>
          <w:sz w:val="32"/>
          <w:szCs w:val="32"/>
        </w:rPr>
        <w:t>项目27万元。全年共拨付27万元，经年终决算，共使用27万元。</w:t>
      </w:r>
    </w:p>
    <w:p>
      <w:pPr>
        <w:spacing w:line="6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）评价工作开展情况。经对我会</w:t>
      </w:r>
      <w:r>
        <w:rPr>
          <w:rFonts w:ascii="仿宋" w:hAnsi="仿宋" w:eastAsia="仿宋" w:cs="仿宋_GB2312"/>
          <w:sz w:val="32"/>
          <w:szCs w:val="32"/>
        </w:rPr>
        <w:t>201</w:t>
      </w:r>
      <w:r>
        <w:rPr>
          <w:rFonts w:hint="eastAsia" w:ascii="仿宋" w:hAnsi="仿宋" w:eastAsia="仿宋" w:cs="仿宋_GB2312"/>
          <w:sz w:val="32"/>
          <w:szCs w:val="32"/>
        </w:rPr>
        <w:t>9年项目收支情况进行全面自查，其资金全部用于项目实施。财政专项工作经费对该项目的实施起到了较好的保障作用，实施效果较好。</w:t>
      </w:r>
    </w:p>
    <w:p>
      <w:pPr>
        <w:tabs>
          <w:tab w:val="left" w:pos="4945"/>
        </w:tabs>
        <w:spacing w:line="600" w:lineRule="exact"/>
        <w:ind w:firstLine="470" w:firstLineChars="147"/>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）项目实施情况</w:t>
      </w:r>
      <w:r>
        <w:rPr>
          <w:rFonts w:ascii="仿宋" w:hAnsi="仿宋" w:eastAsia="仿宋" w:cs="仿宋_GB2312"/>
          <w:sz w:val="32"/>
          <w:szCs w:val="32"/>
        </w:rPr>
        <w:tab/>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a.</w:t>
      </w:r>
      <w:r>
        <w:rPr>
          <w:rFonts w:hint="eastAsia" w:ascii="仿宋" w:hAnsi="仿宋" w:eastAsia="仿宋" w:cs="仿宋_GB2312"/>
          <w:sz w:val="32"/>
          <w:szCs w:val="32"/>
        </w:rPr>
        <w:t>项目决策。</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a)</w:t>
      </w:r>
      <w:r>
        <w:rPr>
          <w:rFonts w:hint="eastAsia" w:ascii="仿宋" w:hAnsi="仿宋" w:eastAsia="仿宋" w:cs="仿宋_GB2312"/>
          <w:sz w:val="32"/>
          <w:szCs w:val="32"/>
        </w:rPr>
        <w:t>绩效目标情况。</w:t>
      </w:r>
      <w:r>
        <w:rPr>
          <w:rFonts w:hint="eastAsia" w:ascii="仿宋" w:hAnsi="仿宋" w:eastAsia="仿宋"/>
          <w:sz w:val="32"/>
          <w:szCs w:val="32"/>
        </w:rPr>
        <w:t>经济服务</w:t>
      </w:r>
      <w:r>
        <w:rPr>
          <w:rFonts w:hint="eastAsia" w:ascii="仿宋" w:hAnsi="仿宋" w:eastAsia="仿宋" w:cs="仿宋_GB2312"/>
          <w:sz w:val="32"/>
          <w:szCs w:val="32"/>
        </w:rPr>
        <w:t>项目主要围绕积极助力民营企业解决融资难、用工难问题，举办银企对接、用工招聘会；以维护广大民营企业的利益，促进发展。加强“三方四家”协作和民营企业集体工资协商，进一步助力构建我市和谐劳动关系；进一步提升对民营企业加强质量管理创建知名品牌、进行科技项目申报的指导，促进我市质量强市；加强民营企业法律培训，加强人民调解委员建立，加强会员企业矛盾纠纷调处力量</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b</w:t>
      </w:r>
      <w:r>
        <w:rPr>
          <w:rFonts w:hint="eastAsia" w:ascii="仿宋" w:hAnsi="仿宋" w:eastAsia="仿宋" w:cs="仿宋_GB2312"/>
          <w:sz w:val="32"/>
          <w:szCs w:val="32"/>
        </w:rPr>
        <w:t>）决策依据。市委市政府关于对市工商业联合会要大力开展针对部分有重大影响的维权案件展开调查处理，以维护广大民营企业的利益，促进发展，同时提供法律咨询服务各项工作的要求，以及市政府下达我会的年度工作目标等。</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c</w:t>
      </w:r>
      <w:r>
        <w:rPr>
          <w:rFonts w:hint="eastAsia" w:ascii="仿宋" w:hAnsi="仿宋" w:eastAsia="仿宋" w:cs="仿宋_GB2312"/>
          <w:sz w:val="32"/>
          <w:szCs w:val="32"/>
        </w:rPr>
        <w:t>）资金分配情况。</w:t>
      </w:r>
      <w:r>
        <w:rPr>
          <w:rFonts w:ascii="仿宋" w:hAnsi="仿宋" w:eastAsia="仿宋" w:cs="仿宋_GB2312"/>
          <w:sz w:val="32"/>
          <w:szCs w:val="32"/>
        </w:rPr>
        <w:t>201</w:t>
      </w:r>
      <w:r>
        <w:rPr>
          <w:rFonts w:hint="eastAsia" w:ascii="仿宋" w:hAnsi="仿宋" w:eastAsia="仿宋" w:cs="仿宋_GB2312"/>
          <w:sz w:val="32"/>
          <w:szCs w:val="32"/>
        </w:rPr>
        <w:t>9年市财政下达</w:t>
      </w:r>
      <w:r>
        <w:rPr>
          <w:rFonts w:hint="eastAsia" w:ascii="仿宋" w:hAnsi="仿宋" w:eastAsia="仿宋"/>
          <w:sz w:val="32"/>
          <w:szCs w:val="32"/>
        </w:rPr>
        <w:t>经济服务</w:t>
      </w:r>
      <w:r>
        <w:rPr>
          <w:rFonts w:hint="eastAsia" w:ascii="仿宋" w:hAnsi="仿宋" w:eastAsia="仿宋" w:cs="仿宋_GB2312"/>
          <w:sz w:val="32"/>
          <w:szCs w:val="32"/>
        </w:rPr>
        <w:t>工作项目3万元，</w:t>
      </w:r>
      <w:r>
        <w:rPr>
          <w:rFonts w:hint="eastAsia" w:ascii="仿宋" w:hAnsi="仿宋" w:eastAsia="仿宋"/>
          <w:sz w:val="32"/>
          <w:szCs w:val="32"/>
        </w:rPr>
        <w:t>民营企业直报2万元，经贸联络4万元，宣传调研4万元，脱贫攻坚3.72万元，招商引资4.28万元，万企帮万村3万元，东西部扶贫协作3万元。</w:t>
      </w:r>
      <w:r>
        <w:rPr>
          <w:rFonts w:ascii="仿宋" w:hAnsi="仿宋" w:eastAsia="仿宋" w:cs="仿宋_GB2312"/>
          <w:sz w:val="32"/>
          <w:szCs w:val="32"/>
        </w:rPr>
        <w:t xml:space="preserve"> </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d)</w:t>
      </w:r>
      <w:r>
        <w:rPr>
          <w:rFonts w:hint="eastAsia" w:ascii="仿宋" w:hAnsi="仿宋" w:eastAsia="仿宋" w:cs="仿宋_GB2312"/>
          <w:sz w:val="32"/>
          <w:szCs w:val="32"/>
        </w:rPr>
        <w:t>分配结果情况。</w:t>
      </w:r>
      <w:r>
        <w:rPr>
          <w:rFonts w:ascii="仿宋" w:hAnsi="仿宋" w:eastAsia="仿宋" w:cs="仿宋_GB2312"/>
          <w:sz w:val="32"/>
          <w:szCs w:val="32"/>
        </w:rPr>
        <w:t>201</w:t>
      </w:r>
      <w:r>
        <w:rPr>
          <w:rFonts w:hint="eastAsia" w:ascii="仿宋" w:hAnsi="仿宋" w:eastAsia="仿宋" w:cs="仿宋_GB2312"/>
          <w:sz w:val="32"/>
          <w:szCs w:val="32"/>
        </w:rPr>
        <w:t>9年初，市财政局将项目经费拨付到市工商业联合会，我会根据工作的开展进度进行了有序安排使用。</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b.</w:t>
      </w:r>
      <w:r>
        <w:rPr>
          <w:rFonts w:hint="eastAsia" w:ascii="仿宋" w:hAnsi="仿宋" w:eastAsia="仿宋" w:cs="仿宋_GB2312"/>
          <w:sz w:val="32"/>
          <w:szCs w:val="32"/>
        </w:rPr>
        <w:t>项目管理。</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a)</w:t>
      </w:r>
      <w:r>
        <w:rPr>
          <w:rFonts w:hint="eastAsia" w:ascii="仿宋" w:hAnsi="仿宋" w:eastAsia="仿宋" w:cs="仿宋_GB2312"/>
          <w:sz w:val="32"/>
          <w:szCs w:val="32"/>
        </w:rPr>
        <w:t>资金到位情况。</w:t>
      </w:r>
      <w:r>
        <w:rPr>
          <w:rFonts w:ascii="仿宋" w:hAnsi="仿宋" w:eastAsia="仿宋" w:cs="仿宋_GB2312"/>
          <w:sz w:val="32"/>
          <w:szCs w:val="32"/>
        </w:rPr>
        <w:t>201</w:t>
      </w:r>
      <w:r>
        <w:rPr>
          <w:rFonts w:hint="eastAsia" w:ascii="仿宋" w:hAnsi="仿宋" w:eastAsia="仿宋" w:cs="仿宋_GB2312"/>
          <w:sz w:val="32"/>
          <w:szCs w:val="32"/>
        </w:rPr>
        <w:t>9市本级年初预算项目27万元，实际下达27万元，由市财政局直接拨付给市工商业联合会。</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b</w:t>
      </w:r>
      <w:r>
        <w:rPr>
          <w:rFonts w:hint="eastAsia" w:ascii="仿宋" w:hAnsi="仿宋" w:eastAsia="仿宋" w:cs="仿宋_GB2312"/>
          <w:sz w:val="32"/>
          <w:szCs w:val="32"/>
        </w:rPr>
        <w:t>）资金管理情况。市工商业联合会对项目经费单独核算，使用规范。经自查，确保了政府投入的专款专用。</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c</w:t>
      </w:r>
      <w:r>
        <w:rPr>
          <w:rFonts w:hint="eastAsia" w:ascii="仿宋" w:hAnsi="仿宋" w:eastAsia="仿宋" w:cs="仿宋_GB2312"/>
          <w:sz w:val="32"/>
          <w:szCs w:val="32"/>
        </w:rPr>
        <w:t>）财务管理情况。项目实施单位管理机构健全，财务制度完善，会计核算比较规范，资金使用合规。</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d)</w:t>
      </w:r>
      <w:r>
        <w:rPr>
          <w:rFonts w:hint="eastAsia" w:ascii="仿宋" w:hAnsi="仿宋" w:eastAsia="仿宋" w:cs="仿宋_GB2312"/>
          <w:sz w:val="32"/>
          <w:szCs w:val="32"/>
        </w:rPr>
        <w:t>组织实施情况。市工商业联合会建立了单位主要负责人宏观控制、项目负责人具体策划实施，管理人员中间控制，市纪委派驻市工商联纪检组责任人检查监控的管理系统。</w:t>
      </w:r>
    </w:p>
    <w:p>
      <w:pPr>
        <w:spacing w:line="6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4</w:t>
      </w:r>
      <w:r>
        <w:rPr>
          <w:rFonts w:hint="eastAsia" w:ascii="仿宋" w:hAnsi="仿宋" w:eastAsia="仿宋" w:cs="仿宋_GB2312"/>
          <w:sz w:val="32"/>
          <w:szCs w:val="32"/>
        </w:rPr>
        <w:t>）项目绩效情况</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积极主动作为，助力民营经济发展取得良好成效。一是</w:t>
      </w:r>
      <w:r>
        <w:rPr>
          <w:rFonts w:hint="eastAsia" w:ascii="仿宋" w:hAnsi="仿宋" w:eastAsia="仿宋"/>
          <w:sz w:val="32"/>
          <w:szCs w:val="32"/>
        </w:rPr>
        <w:t>化解企业生产经营难题。为企业化解用地、用工、商务纠纷、结算纠纷、拆迁、环保、产品营销、涉诉等困难与问题。解融资难，向多家金融机构提供企业融资需求清单，参与筹办全市小微企业暨重大基础设施和产业发展项目融资对接会。解用工难，参与组织各类现场招聘、人才网“春季招聘会”、民营企业专项招聘；建立商会</w:t>
      </w:r>
      <w:r>
        <w:rPr>
          <w:rFonts w:ascii="仿宋" w:hAnsi="仿宋" w:eastAsia="仿宋"/>
          <w:sz w:val="32"/>
          <w:szCs w:val="32"/>
        </w:rPr>
        <w:t>QQ</w:t>
      </w:r>
      <w:r>
        <w:rPr>
          <w:rFonts w:hint="eastAsia" w:ascii="仿宋" w:hAnsi="仿宋" w:eastAsia="仿宋"/>
          <w:sz w:val="32"/>
          <w:szCs w:val="32"/>
        </w:rPr>
        <w:t>群提供用工信息，实行一对一招聘快捷服务。</w:t>
      </w:r>
      <w:r>
        <w:rPr>
          <w:rFonts w:hint="eastAsia" w:ascii="仿宋" w:hAnsi="仿宋" w:eastAsia="仿宋"/>
          <w:b/>
          <w:sz w:val="32"/>
          <w:szCs w:val="32"/>
        </w:rPr>
        <w:t>二是</w:t>
      </w:r>
      <w:r>
        <w:rPr>
          <w:rFonts w:hint="eastAsia" w:ascii="仿宋" w:hAnsi="仿宋" w:eastAsia="仿宋"/>
          <w:sz w:val="32"/>
          <w:szCs w:val="32"/>
        </w:rPr>
        <w:t>维护企业合法权益。开展法律进商会、进企业活动，开展</w:t>
      </w:r>
      <w:r>
        <w:rPr>
          <w:rFonts w:ascii="仿宋" w:hAnsi="仿宋" w:eastAsia="仿宋"/>
          <w:sz w:val="32"/>
          <w:szCs w:val="32"/>
        </w:rPr>
        <w:t>12.4</w:t>
      </w:r>
      <w:r>
        <w:rPr>
          <w:rFonts w:hint="eastAsia" w:ascii="仿宋" w:hAnsi="仿宋" w:eastAsia="仿宋"/>
          <w:sz w:val="32"/>
          <w:szCs w:val="32"/>
        </w:rPr>
        <w:t>法治宣传日活动。开展商协会人民调解工作培训会，维护了社会稳定。</w:t>
      </w:r>
      <w:r>
        <w:rPr>
          <w:rFonts w:hint="eastAsia" w:ascii="仿宋" w:hAnsi="仿宋" w:eastAsia="仿宋"/>
          <w:b/>
          <w:sz w:val="32"/>
          <w:szCs w:val="32"/>
        </w:rPr>
        <w:t>三是</w:t>
      </w:r>
      <w:r>
        <w:rPr>
          <w:rFonts w:hint="eastAsia" w:ascii="仿宋" w:hAnsi="仿宋" w:eastAsia="仿宋"/>
          <w:sz w:val="32"/>
          <w:szCs w:val="32"/>
        </w:rPr>
        <w:t>搭建平台助企业转型升级做大做强。引导企业践行五大发展理念，推进科技创新，拓展发展空间。搭建学习考察平台，组织企业外出考察。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我会圆满的完成了市委、市政府下达的</w:t>
      </w:r>
      <w:r>
        <w:rPr>
          <w:rFonts w:ascii="仿宋" w:hAnsi="仿宋" w:eastAsia="仿宋" w:cs="仿宋_GB2312"/>
          <w:sz w:val="32"/>
          <w:szCs w:val="32"/>
        </w:rPr>
        <w:t>201</w:t>
      </w:r>
      <w:r>
        <w:rPr>
          <w:rFonts w:hint="eastAsia" w:ascii="仿宋" w:hAnsi="仿宋" w:eastAsia="仿宋" w:cs="仿宋_GB2312"/>
          <w:sz w:val="32"/>
          <w:szCs w:val="32"/>
        </w:rPr>
        <w:t>9各项目标任务。</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201</w:t>
      </w:r>
      <w:r>
        <w:rPr>
          <w:rFonts w:hint="eastAsia" w:ascii="仿宋" w:hAnsi="仿宋" w:eastAsia="仿宋" w:cs="仿宋_GB2312"/>
          <w:sz w:val="32"/>
          <w:szCs w:val="32"/>
        </w:rPr>
        <w:t>9年，市工商业联合会部门支出绩效总体情况较好，圆满地完成了各项目标任务。主要表现在：及时、准确地完成了预算编制；预算执行情况良好，在全市非公有制经济管理工作项目、调查研究等方面取得了一定的经济和社会效益。未发现因违规支出受到市财政局通报的情况，执行进度较好；支出管理在资金使用及会计核算方面总体较为规范，制度基本健全，能够按照相关会计制度和财务管理办法进行核算，账目设置清晰，会计资料及支付依据基本完整。专项经费的有效使用可以较好地促进民营经济发展业绩的快速增长</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pStyle w:val="12"/>
        <w:spacing w:after="0" w:line="600" w:lineRule="exact"/>
        <w:ind w:firstLine="576" w:firstLineChars="180"/>
        <w:rPr>
          <w:rFonts w:ascii="仿宋" w:hAnsi="仿宋" w:eastAsia="仿宋" w:cs="仿宋_GB2312"/>
          <w:sz w:val="32"/>
          <w:szCs w:val="32"/>
        </w:rPr>
      </w:pPr>
      <w:r>
        <w:rPr>
          <w:rFonts w:hint="eastAsia" w:ascii="仿宋" w:hAnsi="仿宋" w:eastAsia="仿宋" w:cs="仿宋_GB2312"/>
          <w:sz w:val="32"/>
          <w:szCs w:val="32"/>
        </w:rPr>
        <w:t>一是</w:t>
      </w:r>
      <w:r>
        <w:rPr>
          <w:rFonts w:ascii="仿宋" w:hAnsi="仿宋" w:eastAsia="仿宋" w:cs="仿宋_GB2312"/>
          <w:sz w:val="32"/>
          <w:szCs w:val="32"/>
        </w:rPr>
        <w:t>201</w:t>
      </w:r>
      <w:r>
        <w:rPr>
          <w:rFonts w:hint="eastAsia" w:ascii="仿宋" w:hAnsi="仿宋" w:eastAsia="仿宋" w:cs="仿宋_GB2312"/>
          <w:sz w:val="32"/>
          <w:szCs w:val="32"/>
        </w:rPr>
        <w:t>9年度财政资金支出中存在个别会计核算不尽规范等情况。二是项目绩效管理还不够精细。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进一步加强财务管理。进一步规范会计核算，按照国家相关会计制度的规定，完善相关支付规定，调整相关账务，做到财务核算规范、依据充分、数字准确。二是建立更加完善绩效管理机制。进一步强化非公有制经济等项目绩效管理工作，进一步完善项目绩效问责机制，确保专项资金使用的效益最大化。</w:t>
      </w:r>
    </w:p>
    <w:p>
      <w:pPr>
        <w:spacing w:line="580" w:lineRule="exact"/>
        <w:ind w:firstLine="640" w:firstLineChars="200"/>
        <w:rPr>
          <w:rFonts w:ascii="仿宋" w:hAnsi="仿宋" w:eastAsia="仿宋" w:cs="仿宋_GB2312"/>
          <w:sz w:val="32"/>
          <w:szCs w:val="32"/>
        </w:rPr>
      </w:pPr>
    </w:p>
    <w:p>
      <w:pPr>
        <w:spacing w:line="600" w:lineRule="exact"/>
        <w:jc w:val="center"/>
        <w:outlineLvl w:val="0"/>
        <w:rPr>
          <w:rStyle w:val="17"/>
          <w:rFonts w:ascii="黑体" w:hAnsi="黑体" w:eastAsia="黑体"/>
          <w:b w:val="0"/>
        </w:rPr>
      </w:pPr>
      <w:bookmarkStart w:id="34" w:name="_Toc15396618"/>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35"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35"/>
    </w:p>
    <w:p>
      <w:pPr>
        <w:pStyle w:val="3"/>
        <w:rPr>
          <w:rFonts w:ascii="仿宋" w:hAnsi="仿宋" w:eastAsia="仿宋"/>
          <w:color w:val="000000"/>
        </w:rPr>
      </w:pPr>
      <w:bookmarkStart w:id="36"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36"/>
    </w:p>
    <w:p>
      <w:pPr>
        <w:pStyle w:val="3"/>
        <w:rPr>
          <w:rFonts w:ascii="仿宋" w:hAnsi="仿宋" w:eastAsia="仿宋"/>
          <w:color w:val="000000"/>
        </w:rPr>
      </w:pPr>
      <w:bookmarkStart w:id="37"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37"/>
    </w:p>
    <w:p>
      <w:pPr>
        <w:pStyle w:val="3"/>
        <w:rPr>
          <w:rFonts w:ascii="仿宋" w:hAnsi="仿宋" w:eastAsia="仿宋"/>
          <w:b w:val="0"/>
          <w:color w:val="000000"/>
        </w:rPr>
      </w:pPr>
      <w:bookmarkStart w:id="38"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38"/>
    </w:p>
    <w:p>
      <w:pPr>
        <w:pStyle w:val="3"/>
        <w:rPr>
          <w:rStyle w:val="18"/>
          <w:rFonts w:ascii="仿宋" w:hAnsi="仿宋" w:eastAsia="仿宋"/>
          <w:b w:val="0"/>
          <w:bCs w:val="0"/>
        </w:rPr>
      </w:pPr>
      <w:bookmarkStart w:id="39"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39"/>
      <w:bookmarkStart w:id="40"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40"/>
    </w:p>
    <w:p>
      <w:pPr>
        <w:pStyle w:val="3"/>
        <w:rPr>
          <w:rFonts w:ascii="仿宋" w:hAnsi="仿宋" w:eastAsia="仿宋"/>
          <w:color w:val="000000"/>
        </w:rPr>
      </w:pPr>
      <w:bookmarkStart w:id="41"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41"/>
    </w:p>
    <w:p>
      <w:pPr>
        <w:pStyle w:val="3"/>
        <w:rPr>
          <w:rFonts w:ascii="仿宋" w:hAnsi="仿宋" w:eastAsia="仿宋"/>
          <w:color w:val="000000"/>
        </w:rPr>
      </w:pPr>
      <w:bookmarkStart w:id="42"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42"/>
    </w:p>
    <w:p>
      <w:pPr>
        <w:pStyle w:val="3"/>
        <w:rPr>
          <w:rFonts w:ascii="仿宋" w:hAnsi="仿宋" w:eastAsia="仿宋"/>
          <w:color w:val="000000"/>
        </w:rPr>
      </w:pPr>
      <w:bookmarkStart w:id="43"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43"/>
    </w:p>
    <w:p>
      <w:pPr>
        <w:pStyle w:val="3"/>
        <w:rPr>
          <w:rFonts w:ascii="仿宋" w:hAnsi="仿宋" w:eastAsia="仿宋"/>
          <w:color w:val="000000"/>
        </w:rPr>
      </w:pPr>
      <w:bookmarkStart w:id="44"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44"/>
    </w:p>
    <w:p>
      <w:pPr>
        <w:pStyle w:val="3"/>
        <w:rPr>
          <w:rFonts w:ascii="仿宋" w:hAnsi="仿宋" w:eastAsia="仿宋"/>
          <w:color w:val="000000"/>
        </w:rPr>
      </w:pPr>
      <w:bookmarkStart w:id="45"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45"/>
    </w:p>
    <w:p>
      <w:pPr>
        <w:pStyle w:val="3"/>
        <w:rPr>
          <w:rFonts w:ascii="仿宋" w:hAnsi="仿宋" w:eastAsia="仿宋"/>
          <w:color w:val="000000"/>
        </w:rPr>
      </w:pPr>
      <w:bookmarkStart w:id="46"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46"/>
    </w:p>
    <w:p>
      <w:pPr>
        <w:pStyle w:val="3"/>
        <w:rPr>
          <w:rFonts w:ascii="仿宋" w:hAnsi="仿宋" w:eastAsia="仿宋"/>
          <w:color w:val="000000"/>
        </w:rPr>
      </w:pPr>
      <w:bookmarkStart w:id="47"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47"/>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bookmarkEnd w:id="34"/>
    <w:p>
      <w:pPr>
        <w:spacing w:line="600" w:lineRule="exact"/>
        <w:jc w:val="center"/>
        <w:outlineLvl w:val="0"/>
        <w:rPr>
          <w:rFonts w:ascii="黑体" w:hAnsi="黑体" w:eastAsia="黑体"/>
          <w:color w:val="000000"/>
          <w:sz w:val="44"/>
          <w:szCs w:val="44"/>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4B6D"/>
    <w:rsid w:val="000222C6"/>
    <w:rsid w:val="0002549F"/>
    <w:rsid w:val="00047BFA"/>
    <w:rsid w:val="00055C0F"/>
    <w:rsid w:val="0006487A"/>
    <w:rsid w:val="00065F8F"/>
    <w:rsid w:val="000768F2"/>
    <w:rsid w:val="000813C1"/>
    <w:rsid w:val="00084590"/>
    <w:rsid w:val="000868AC"/>
    <w:rsid w:val="0009184B"/>
    <w:rsid w:val="0009593C"/>
    <w:rsid w:val="000B047F"/>
    <w:rsid w:val="000B5923"/>
    <w:rsid w:val="000B5A48"/>
    <w:rsid w:val="000B6FF3"/>
    <w:rsid w:val="000C1E24"/>
    <w:rsid w:val="000C3467"/>
    <w:rsid w:val="000C3CA6"/>
    <w:rsid w:val="000C5742"/>
    <w:rsid w:val="000D1267"/>
    <w:rsid w:val="000D1D50"/>
    <w:rsid w:val="000D5782"/>
    <w:rsid w:val="000D7EA4"/>
    <w:rsid w:val="000E6613"/>
    <w:rsid w:val="000E7119"/>
    <w:rsid w:val="00114E9B"/>
    <w:rsid w:val="00130A53"/>
    <w:rsid w:val="00131925"/>
    <w:rsid w:val="00134755"/>
    <w:rsid w:val="0014729F"/>
    <w:rsid w:val="00157BAB"/>
    <w:rsid w:val="001654D1"/>
    <w:rsid w:val="00167CC4"/>
    <w:rsid w:val="0018106D"/>
    <w:rsid w:val="00185A46"/>
    <w:rsid w:val="001877A7"/>
    <w:rsid w:val="00191536"/>
    <w:rsid w:val="00194A08"/>
    <w:rsid w:val="00196687"/>
    <w:rsid w:val="001C0962"/>
    <w:rsid w:val="001D7531"/>
    <w:rsid w:val="001E3C19"/>
    <w:rsid w:val="001E737D"/>
    <w:rsid w:val="001F0592"/>
    <w:rsid w:val="001F0E2E"/>
    <w:rsid w:val="001F61B1"/>
    <w:rsid w:val="001F7506"/>
    <w:rsid w:val="002006CD"/>
    <w:rsid w:val="00202B36"/>
    <w:rsid w:val="00204B7A"/>
    <w:rsid w:val="00206894"/>
    <w:rsid w:val="0021101A"/>
    <w:rsid w:val="00216357"/>
    <w:rsid w:val="00220536"/>
    <w:rsid w:val="00235629"/>
    <w:rsid w:val="00240F61"/>
    <w:rsid w:val="00246D1C"/>
    <w:rsid w:val="00260C38"/>
    <w:rsid w:val="002616C0"/>
    <w:rsid w:val="002662AA"/>
    <w:rsid w:val="00280496"/>
    <w:rsid w:val="00295495"/>
    <w:rsid w:val="002B2613"/>
    <w:rsid w:val="002F1818"/>
    <w:rsid w:val="002F567B"/>
    <w:rsid w:val="003039F0"/>
    <w:rsid w:val="003216A9"/>
    <w:rsid w:val="003317B5"/>
    <w:rsid w:val="00351C25"/>
    <w:rsid w:val="00352CA7"/>
    <w:rsid w:val="00353DFD"/>
    <w:rsid w:val="0037013F"/>
    <w:rsid w:val="0037797F"/>
    <w:rsid w:val="00380C92"/>
    <w:rsid w:val="003815E0"/>
    <w:rsid w:val="00397205"/>
    <w:rsid w:val="003A484F"/>
    <w:rsid w:val="003B0BE0"/>
    <w:rsid w:val="003B0C1B"/>
    <w:rsid w:val="003B688C"/>
    <w:rsid w:val="003C0291"/>
    <w:rsid w:val="003C31BA"/>
    <w:rsid w:val="003C39AE"/>
    <w:rsid w:val="003C7B60"/>
    <w:rsid w:val="003D1FB2"/>
    <w:rsid w:val="003D66DA"/>
    <w:rsid w:val="003E1310"/>
    <w:rsid w:val="003E6F55"/>
    <w:rsid w:val="00406254"/>
    <w:rsid w:val="004223DE"/>
    <w:rsid w:val="00434489"/>
    <w:rsid w:val="00437085"/>
    <w:rsid w:val="00443880"/>
    <w:rsid w:val="004464F4"/>
    <w:rsid w:val="00451466"/>
    <w:rsid w:val="004709E3"/>
    <w:rsid w:val="00471401"/>
    <w:rsid w:val="00473F31"/>
    <w:rsid w:val="0048263A"/>
    <w:rsid w:val="00487E5D"/>
    <w:rsid w:val="004A711F"/>
    <w:rsid w:val="004B199D"/>
    <w:rsid w:val="004B4690"/>
    <w:rsid w:val="004D1EFC"/>
    <w:rsid w:val="004E0A2D"/>
    <w:rsid w:val="004E206B"/>
    <w:rsid w:val="004E6DF7"/>
    <w:rsid w:val="004F0FBD"/>
    <w:rsid w:val="00505A47"/>
    <w:rsid w:val="00512FDA"/>
    <w:rsid w:val="00520DA0"/>
    <w:rsid w:val="005214E3"/>
    <w:rsid w:val="00524949"/>
    <w:rsid w:val="005363E5"/>
    <w:rsid w:val="005664BB"/>
    <w:rsid w:val="0057227E"/>
    <w:rsid w:val="0057481D"/>
    <w:rsid w:val="0058486E"/>
    <w:rsid w:val="005866F9"/>
    <w:rsid w:val="00593006"/>
    <w:rsid w:val="00595089"/>
    <w:rsid w:val="005B6136"/>
    <w:rsid w:val="005C6279"/>
    <w:rsid w:val="005D1C8B"/>
    <w:rsid w:val="005D5CED"/>
    <w:rsid w:val="005E6ABF"/>
    <w:rsid w:val="005F1A4C"/>
    <w:rsid w:val="00605688"/>
    <w:rsid w:val="006070AF"/>
    <w:rsid w:val="00607E6C"/>
    <w:rsid w:val="006101B1"/>
    <w:rsid w:val="00614E44"/>
    <w:rsid w:val="006227BE"/>
    <w:rsid w:val="00622830"/>
    <w:rsid w:val="00630AEF"/>
    <w:rsid w:val="006325F8"/>
    <w:rsid w:val="00634C9A"/>
    <w:rsid w:val="006402FE"/>
    <w:rsid w:val="006440E4"/>
    <w:rsid w:val="006447B1"/>
    <w:rsid w:val="0066343B"/>
    <w:rsid w:val="00664777"/>
    <w:rsid w:val="006748A4"/>
    <w:rsid w:val="00683E73"/>
    <w:rsid w:val="00687188"/>
    <w:rsid w:val="00697201"/>
    <w:rsid w:val="006A3141"/>
    <w:rsid w:val="006A3915"/>
    <w:rsid w:val="006A5E34"/>
    <w:rsid w:val="006B2422"/>
    <w:rsid w:val="006B2B9A"/>
    <w:rsid w:val="006C1937"/>
    <w:rsid w:val="006C4AAA"/>
    <w:rsid w:val="006D225D"/>
    <w:rsid w:val="006F020C"/>
    <w:rsid w:val="007127B7"/>
    <w:rsid w:val="00716E7F"/>
    <w:rsid w:val="007416B6"/>
    <w:rsid w:val="00746F48"/>
    <w:rsid w:val="0075404D"/>
    <w:rsid w:val="0076182A"/>
    <w:rsid w:val="00766564"/>
    <w:rsid w:val="00767B7E"/>
    <w:rsid w:val="007770C3"/>
    <w:rsid w:val="00784D24"/>
    <w:rsid w:val="00785FBA"/>
    <w:rsid w:val="00786E4A"/>
    <w:rsid w:val="007875EB"/>
    <w:rsid w:val="0079426B"/>
    <w:rsid w:val="007A15CE"/>
    <w:rsid w:val="007D312A"/>
    <w:rsid w:val="007D3ACA"/>
    <w:rsid w:val="007D3F19"/>
    <w:rsid w:val="007E23B0"/>
    <w:rsid w:val="007F1991"/>
    <w:rsid w:val="007F2C2F"/>
    <w:rsid w:val="007F3B10"/>
    <w:rsid w:val="007F55FC"/>
    <w:rsid w:val="007F5665"/>
    <w:rsid w:val="00800112"/>
    <w:rsid w:val="00806A71"/>
    <w:rsid w:val="008253BB"/>
    <w:rsid w:val="0083706E"/>
    <w:rsid w:val="008423A5"/>
    <w:rsid w:val="00850625"/>
    <w:rsid w:val="00853718"/>
    <w:rsid w:val="00855221"/>
    <w:rsid w:val="00860645"/>
    <w:rsid w:val="0086402A"/>
    <w:rsid w:val="00871F71"/>
    <w:rsid w:val="00877C67"/>
    <w:rsid w:val="00885AF4"/>
    <w:rsid w:val="008939CD"/>
    <w:rsid w:val="008B768C"/>
    <w:rsid w:val="008C4DB1"/>
    <w:rsid w:val="008C4EAF"/>
    <w:rsid w:val="008C5176"/>
    <w:rsid w:val="008C7FD0"/>
    <w:rsid w:val="008E1DE7"/>
    <w:rsid w:val="008E3EB4"/>
    <w:rsid w:val="008E701B"/>
    <w:rsid w:val="008E707C"/>
    <w:rsid w:val="008F795E"/>
    <w:rsid w:val="00900B08"/>
    <w:rsid w:val="00902155"/>
    <w:rsid w:val="00902FA3"/>
    <w:rsid w:val="009069B5"/>
    <w:rsid w:val="0091238A"/>
    <w:rsid w:val="00923564"/>
    <w:rsid w:val="0092392E"/>
    <w:rsid w:val="009315F9"/>
    <w:rsid w:val="0093490C"/>
    <w:rsid w:val="00946945"/>
    <w:rsid w:val="00951248"/>
    <w:rsid w:val="0095152F"/>
    <w:rsid w:val="00953E9A"/>
    <w:rsid w:val="00954C49"/>
    <w:rsid w:val="00963096"/>
    <w:rsid w:val="0097099F"/>
    <w:rsid w:val="00971997"/>
    <w:rsid w:val="00971FFC"/>
    <w:rsid w:val="009745EC"/>
    <w:rsid w:val="0098660A"/>
    <w:rsid w:val="009931C3"/>
    <w:rsid w:val="009B2C43"/>
    <w:rsid w:val="009B35ED"/>
    <w:rsid w:val="009B4EAE"/>
    <w:rsid w:val="009B7573"/>
    <w:rsid w:val="009C22F4"/>
    <w:rsid w:val="009C2E98"/>
    <w:rsid w:val="009D3447"/>
    <w:rsid w:val="009D4711"/>
    <w:rsid w:val="009E1262"/>
    <w:rsid w:val="009F1185"/>
    <w:rsid w:val="009F18CD"/>
    <w:rsid w:val="009F2A13"/>
    <w:rsid w:val="00A04EB0"/>
    <w:rsid w:val="00A06BC2"/>
    <w:rsid w:val="00A13CC1"/>
    <w:rsid w:val="00A16847"/>
    <w:rsid w:val="00A237D8"/>
    <w:rsid w:val="00A268C4"/>
    <w:rsid w:val="00A307CD"/>
    <w:rsid w:val="00A40A00"/>
    <w:rsid w:val="00A4142F"/>
    <w:rsid w:val="00A45A94"/>
    <w:rsid w:val="00A56DF2"/>
    <w:rsid w:val="00A67AB5"/>
    <w:rsid w:val="00A73006"/>
    <w:rsid w:val="00A82FF2"/>
    <w:rsid w:val="00A87E3A"/>
    <w:rsid w:val="00A91760"/>
    <w:rsid w:val="00A93B00"/>
    <w:rsid w:val="00A93C21"/>
    <w:rsid w:val="00AC3C6A"/>
    <w:rsid w:val="00AD2ECB"/>
    <w:rsid w:val="00AD5620"/>
    <w:rsid w:val="00AD7C1B"/>
    <w:rsid w:val="00AE16BA"/>
    <w:rsid w:val="00AE1EBE"/>
    <w:rsid w:val="00AE310C"/>
    <w:rsid w:val="00B03C9D"/>
    <w:rsid w:val="00B060AE"/>
    <w:rsid w:val="00B10517"/>
    <w:rsid w:val="00B10E25"/>
    <w:rsid w:val="00B14E76"/>
    <w:rsid w:val="00B161B8"/>
    <w:rsid w:val="00B174FE"/>
    <w:rsid w:val="00B2048C"/>
    <w:rsid w:val="00B310B9"/>
    <w:rsid w:val="00B35F3F"/>
    <w:rsid w:val="00B36CBB"/>
    <w:rsid w:val="00B425E0"/>
    <w:rsid w:val="00B440AA"/>
    <w:rsid w:val="00B44B70"/>
    <w:rsid w:val="00B44BF9"/>
    <w:rsid w:val="00B50DC0"/>
    <w:rsid w:val="00B53C56"/>
    <w:rsid w:val="00B6315C"/>
    <w:rsid w:val="00B63C95"/>
    <w:rsid w:val="00B77EA6"/>
    <w:rsid w:val="00B81598"/>
    <w:rsid w:val="00B841F1"/>
    <w:rsid w:val="00B944D6"/>
    <w:rsid w:val="00B95DB2"/>
    <w:rsid w:val="00B977C8"/>
    <w:rsid w:val="00BA4892"/>
    <w:rsid w:val="00BB4DF0"/>
    <w:rsid w:val="00BC289F"/>
    <w:rsid w:val="00BC5361"/>
    <w:rsid w:val="00BC5460"/>
    <w:rsid w:val="00BC6B50"/>
    <w:rsid w:val="00BD0E25"/>
    <w:rsid w:val="00BD4888"/>
    <w:rsid w:val="00BD747E"/>
    <w:rsid w:val="00BE55C0"/>
    <w:rsid w:val="00BF1990"/>
    <w:rsid w:val="00BF5BD6"/>
    <w:rsid w:val="00C03E31"/>
    <w:rsid w:val="00C32AE2"/>
    <w:rsid w:val="00C33E72"/>
    <w:rsid w:val="00C354B2"/>
    <w:rsid w:val="00C35554"/>
    <w:rsid w:val="00C42709"/>
    <w:rsid w:val="00C46368"/>
    <w:rsid w:val="00C533CC"/>
    <w:rsid w:val="00C5751C"/>
    <w:rsid w:val="00C61BFC"/>
    <w:rsid w:val="00C62B85"/>
    <w:rsid w:val="00C65438"/>
    <w:rsid w:val="00C70F45"/>
    <w:rsid w:val="00C91CBB"/>
    <w:rsid w:val="00CA249D"/>
    <w:rsid w:val="00CB4AA9"/>
    <w:rsid w:val="00CC09B6"/>
    <w:rsid w:val="00CC666F"/>
    <w:rsid w:val="00CD1E3F"/>
    <w:rsid w:val="00CD1FCE"/>
    <w:rsid w:val="00CE44F6"/>
    <w:rsid w:val="00CE49DA"/>
    <w:rsid w:val="00CE7B61"/>
    <w:rsid w:val="00D00095"/>
    <w:rsid w:val="00D20620"/>
    <w:rsid w:val="00D22631"/>
    <w:rsid w:val="00D26091"/>
    <w:rsid w:val="00D34E7C"/>
    <w:rsid w:val="00D35489"/>
    <w:rsid w:val="00D45FA0"/>
    <w:rsid w:val="00D500DC"/>
    <w:rsid w:val="00D51276"/>
    <w:rsid w:val="00D7035F"/>
    <w:rsid w:val="00DA65AC"/>
    <w:rsid w:val="00DA7257"/>
    <w:rsid w:val="00DB0F51"/>
    <w:rsid w:val="00DB1913"/>
    <w:rsid w:val="00DB6CDE"/>
    <w:rsid w:val="00DC0BAE"/>
    <w:rsid w:val="00DC410D"/>
    <w:rsid w:val="00DC68CA"/>
    <w:rsid w:val="00DC7CBA"/>
    <w:rsid w:val="00DD73B7"/>
    <w:rsid w:val="00DF28BC"/>
    <w:rsid w:val="00DF34B9"/>
    <w:rsid w:val="00E01053"/>
    <w:rsid w:val="00E07ACF"/>
    <w:rsid w:val="00E158D9"/>
    <w:rsid w:val="00E1605A"/>
    <w:rsid w:val="00E21C6B"/>
    <w:rsid w:val="00E331A1"/>
    <w:rsid w:val="00E33202"/>
    <w:rsid w:val="00E336A9"/>
    <w:rsid w:val="00E50624"/>
    <w:rsid w:val="00E5063C"/>
    <w:rsid w:val="00E568DF"/>
    <w:rsid w:val="00E624D1"/>
    <w:rsid w:val="00E64269"/>
    <w:rsid w:val="00E82267"/>
    <w:rsid w:val="00E9293E"/>
    <w:rsid w:val="00EA010F"/>
    <w:rsid w:val="00EC77FD"/>
    <w:rsid w:val="00ED1B63"/>
    <w:rsid w:val="00ED3C1F"/>
    <w:rsid w:val="00ED4085"/>
    <w:rsid w:val="00ED420E"/>
    <w:rsid w:val="00EE2F57"/>
    <w:rsid w:val="00EF4C34"/>
    <w:rsid w:val="00EF77C6"/>
    <w:rsid w:val="00F05438"/>
    <w:rsid w:val="00F069A9"/>
    <w:rsid w:val="00F1361C"/>
    <w:rsid w:val="00F160C7"/>
    <w:rsid w:val="00F36D8F"/>
    <w:rsid w:val="00F417B1"/>
    <w:rsid w:val="00F50362"/>
    <w:rsid w:val="00F602DF"/>
    <w:rsid w:val="00F716C3"/>
    <w:rsid w:val="00F71A47"/>
    <w:rsid w:val="00F81FD9"/>
    <w:rsid w:val="00F841AA"/>
    <w:rsid w:val="00F9480E"/>
    <w:rsid w:val="00FA23E8"/>
    <w:rsid w:val="00FD1A32"/>
    <w:rsid w:val="00FD3CC1"/>
    <w:rsid w:val="00FD5EDB"/>
    <w:rsid w:val="00FE4360"/>
    <w:rsid w:val="00FF1E02"/>
    <w:rsid w:val="00FF30B4"/>
    <w:rsid w:val="0A507DBA"/>
    <w:rsid w:val="101D28E5"/>
    <w:rsid w:val="10C055FF"/>
    <w:rsid w:val="16BB723D"/>
    <w:rsid w:val="196A3FA4"/>
    <w:rsid w:val="214C4EB7"/>
    <w:rsid w:val="240371BF"/>
    <w:rsid w:val="24037E3B"/>
    <w:rsid w:val="28A011B8"/>
    <w:rsid w:val="29FD04D3"/>
    <w:rsid w:val="2D07646C"/>
    <w:rsid w:val="319F7F4E"/>
    <w:rsid w:val="335417C3"/>
    <w:rsid w:val="3A7C15B5"/>
    <w:rsid w:val="48C70680"/>
    <w:rsid w:val="49826C22"/>
    <w:rsid w:val="4F9F7D48"/>
    <w:rsid w:val="57A03DF0"/>
    <w:rsid w:val="5B926AF1"/>
    <w:rsid w:val="666562BC"/>
    <w:rsid w:val="66D151B4"/>
    <w:rsid w:val="67015035"/>
    <w:rsid w:val="72CE22EC"/>
    <w:rsid w:val="7AFA76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Body Text First Indent"/>
    <w:basedOn w:val="5"/>
    <w:link w:val="24"/>
    <w:qFormat/>
    <w:uiPriority w:val="99"/>
    <w:pPr>
      <w:spacing w:beforeLines="0" w:after="120"/>
      <w:ind w:firstLine="420" w:firstLineChars="100"/>
    </w:pPr>
    <w:rPr>
      <w:rFonts w:ascii="Calibri" w:hAnsi="Calibri" w:eastAsia="宋体"/>
      <w:kern w:val="2"/>
      <w:szCs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qFormat/>
    <w:locked/>
    <w:uiPriority w:val="99"/>
    <w:rPr>
      <w:rFonts w:ascii="Cambria" w:hAnsi="Cambria" w:eastAsia="宋体" w:cs="Times New Roman"/>
      <w:b/>
      <w:bCs/>
      <w:kern w:val="2"/>
      <w:sz w:val="32"/>
      <w:szCs w:val="32"/>
    </w:rPr>
  </w:style>
  <w:style w:type="character" w:customStyle="1" w:styleId="19">
    <w:name w:val="标题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semiHidden/>
    <w:qFormat/>
    <w:locked/>
    <w:uiPriority w:val="99"/>
    <w:rPr>
      <w:rFonts w:ascii="Times New Roman" w:hAnsi="Times New Roman" w:cs="Times New Roman"/>
      <w:sz w:val="24"/>
      <w:szCs w:val="24"/>
    </w:rPr>
  </w:style>
  <w:style w:type="character" w:customStyle="1" w:styleId="21">
    <w:name w:val="批注框文本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semiHidden/>
    <w:qFormat/>
    <w:locked/>
    <w:uiPriority w:val="99"/>
    <w:rPr>
      <w:rFonts w:ascii="Times New Roman" w:hAnsi="Times New Roman" w:cs="Times New Roman"/>
      <w:sz w:val="18"/>
      <w:szCs w:val="18"/>
    </w:rPr>
  </w:style>
  <w:style w:type="character" w:customStyle="1" w:styleId="23">
    <w:name w:val="Header Char"/>
    <w:basedOn w:val="14"/>
    <w:semiHidden/>
    <w:qFormat/>
    <w:locked/>
    <w:uiPriority w:val="99"/>
    <w:rPr>
      <w:rFonts w:ascii="Times New Roman" w:hAnsi="Times New Roman" w:cs="Times New Roman"/>
      <w:sz w:val="18"/>
      <w:szCs w:val="18"/>
    </w:rPr>
  </w:style>
  <w:style w:type="character" w:customStyle="1" w:styleId="24">
    <w:name w:val="正文首行缩进 Char"/>
    <w:basedOn w:val="25"/>
    <w:link w:val="12"/>
    <w:semiHidden/>
    <w:qFormat/>
    <w:locked/>
    <w:uiPriority w:val="99"/>
    <w:rPr>
      <w:rFonts w:ascii="Times New Roman" w:hAnsi="Times New Roman" w:eastAsia="仿宋_GB2312" w:cs="Times New Roman"/>
      <w:sz w:val="24"/>
      <w:szCs w:val="24"/>
    </w:rPr>
  </w:style>
  <w:style w:type="character" w:customStyle="1" w:styleId="25">
    <w:name w:val="正文文本 Char"/>
    <w:link w:val="5"/>
    <w:qFormat/>
    <w:locked/>
    <w:uiPriority w:val="99"/>
    <w:rPr>
      <w:rFonts w:ascii="仿宋_GB2312" w:hAnsi="Times New Roman" w:eastAsia="仿宋_GB2312"/>
      <w:sz w:val="24"/>
    </w:rPr>
  </w:style>
  <w:style w:type="character" w:customStyle="1" w:styleId="26">
    <w:name w:val="页眉 Char"/>
    <w:link w:val="9"/>
    <w:semiHidden/>
    <w:qFormat/>
    <w:locked/>
    <w:uiPriority w:val="99"/>
    <w:rPr>
      <w:sz w:val="18"/>
    </w:rPr>
  </w:style>
  <w:style w:type="character" w:customStyle="1" w:styleId="27">
    <w:name w:val="页脚 Char"/>
    <w:link w:val="8"/>
    <w:qFormat/>
    <w:locked/>
    <w:uiPriority w:val="99"/>
    <w:rPr>
      <w:sz w:val="18"/>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Body Text First Indent Char1"/>
    <w:qFormat/>
    <w:locked/>
    <w:uiPriority w:val="99"/>
    <w:rPr>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2574</Words>
  <Characters>14677</Characters>
  <Lines>122</Lines>
  <Paragraphs>34</Paragraphs>
  <TotalTime>17</TotalTime>
  <ScaleCrop>false</ScaleCrop>
  <LinksUpToDate>false</LinksUpToDate>
  <CharactersWithSpaces>17217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2020-09-21T10:04:00Z</dcterms:created>
  <dc:creator>张彬茜</dc:creator>
  <cp:lastModifiedBy>木子什么女单</cp:lastModifiedBy>
  <cp:lastPrinted>2019-09-30T01:53:00Z</cp:lastPrinted>
  <dcterms:modified xsi:type="dcterms:W3CDTF">2020-09-25T03:18:07Z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