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bookmarkStart w:id="0" w:name="_GoBack"/>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both"/>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widowControl/>
        <w:shd w:val="clear" w:color="auto" w:fill="FFFFFF"/>
        <w:spacing w:line="580" w:lineRule="atLeas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14:textFill>
            <w14:solidFill>
              <w14:schemeClr w14:val="tx1"/>
            </w14:solidFill>
          </w14:textFill>
        </w:rPr>
        <w:t>广元市工商业联合会</w:t>
      </w:r>
      <w:r>
        <w:rPr>
          <w:rFonts w:hint="eastAsia" w:ascii="方正小标宋简体" w:hAnsi="方正小标宋简体" w:eastAsia="方正小标宋简体" w:cs="方正小标宋简体"/>
          <w:color w:val="000000" w:themeColor="text1"/>
          <w:kern w:val="0"/>
          <w:sz w:val="44"/>
          <w:szCs w:val="44"/>
          <w:shd w:val="clear" w:color="auto" w:fill="FFFFFF"/>
          <w:lang w:eastAsia="zh-CN"/>
          <w14:textFill>
            <w14:solidFill>
              <w14:schemeClr w14:val="tx1"/>
            </w14:solidFill>
          </w14:textFill>
        </w:rPr>
        <w:t>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2025年部门预算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both"/>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仿宋_GB2312" w:hAnsi="仿宋_GB2312" w:eastAsia="仿宋_GB2312" w:cs="仿宋_GB2312"/>
          <w:b/>
          <w:bCs/>
          <w:i w:val="0"/>
          <w:caps w:val="0"/>
          <w:color w:val="000000" w:themeColor="text1"/>
          <w:spacing w:val="0"/>
          <w:kern w:val="0"/>
          <w:sz w:val="32"/>
          <w:szCs w:val="32"/>
          <w:highlight w:val="yellow"/>
          <w:shd w:val="clear" w:color="auto" w:fill="FFFFFF"/>
          <w:lang w:val="en-US" w:eastAsia="zh-CN" w:bidi="ar"/>
          <w14:textFill>
            <w14:solidFill>
              <w14:schemeClr w14:val="tx1"/>
            </w14:solidFill>
          </w14:textFill>
        </w:rPr>
        <w:sectPr>
          <w:footerReference r:id="rId3" w:type="default"/>
          <w:pgSz w:w="11906" w:h="16838"/>
          <w:pgMar w:top="2098" w:right="1474" w:bottom="1984" w:left="1587" w:header="720" w:footer="1559"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广元市工商业联合会单位概况 </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基本职能及主要工作 </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部门预算单位构成</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广元市工商业联合会2025年部门预算情况说明 </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名词解释</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广元市工商业联合会2025年部门预算表</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16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部门收支总表 </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16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部门收入总表</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16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部门支出总表 </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16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财政拨款收支预算总表</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16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财政拨款支出预算表（部门经济分类科目）</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16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一般公共预算支出预算表</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16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一般公共预算基本支出预算表 </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16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一般公共预算项目支出预算表 </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16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一般公共预算“三公”经费支出预算表 </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16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政府性基金预算支出预算表 </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16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政府性基金预算“三公”经费支出预算表 </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16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国有资本经营预算支出预算表 </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160" w:leftChars="0" w:firstLine="0" w:firstLineChars="0"/>
        <w:jc w:val="both"/>
        <w:textAlignment w:val="auto"/>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部门预算项目支出绩效目标表 </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160" w:leftChars="0" w:firstLine="0" w:firstLineChars="0"/>
        <w:jc w:val="both"/>
        <w:textAlignment w:val="auto"/>
        <w:rPr>
          <w:rFonts w:hint="default" w:ascii="宋体" w:hAnsi="宋体" w:eastAsia="宋体" w:cs="宋体"/>
          <w:b/>
          <w:i w:val="0"/>
          <w:caps w:val="0"/>
          <w:color w:val="000000" w:themeColor="text1"/>
          <w:spacing w:val="0"/>
          <w:sz w:val="28"/>
          <w:szCs w:val="28"/>
          <w:highlight w:val="none"/>
          <w:shd w:val="clear" w:color="auto" w:fill="FFFFFF"/>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 xml:space="preserve">部门整体支出绩效目标表 </w:t>
      </w:r>
      <w:r>
        <w:rPr>
          <w:rFonts w:hint="eastAsia" w:ascii="宋体" w:hAnsi="宋体" w:cs="宋体"/>
          <w:b/>
          <w:i w:val="0"/>
          <w:caps w:val="0"/>
          <w:color w:val="000000" w:themeColor="text1"/>
          <w:spacing w:val="0"/>
          <w:sz w:val="28"/>
          <w:szCs w:val="28"/>
          <w:highlight w:val="none"/>
          <w:shd w:val="clear" w:color="auto" w:fill="FFFFFF"/>
          <w:lang w:val="en-US" w:eastAsia="zh-CN"/>
          <w14:textFill>
            <w14:solidFill>
              <w14:schemeClr w14:val="tx1"/>
            </w14:solidFill>
          </w14:textFill>
        </w:rPr>
        <w:t xml:space="preserve">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right="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keepNext w:val="0"/>
        <w:keepLines/>
        <w:pageBreakBefore/>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0"/>
        <w:jc w:val="center"/>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sectPr>
          <w:pgSz w:w="11906" w:h="16838"/>
          <w:pgMar w:top="2098" w:right="1474" w:bottom="1984" w:left="1587" w:header="720" w:footer="1559"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leftChars="0" w:right="0" w:firstLine="0" w:firstLineChars="0"/>
        <w:jc w:val="center"/>
        <w:textAlignment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广元市工商业联合会</w:t>
      </w:r>
      <w:r>
        <w:rPr>
          <w:rFonts w:hint="eastAsia" w:ascii="方正小标宋简体" w:hAnsi="方正小标宋简体" w:eastAsia="方正小标宋简体" w:cs="方正小标宋简体"/>
          <w:sz w:val="44"/>
          <w:szCs w:val="44"/>
          <w:lang w:val="en-US" w:eastAsia="zh-CN"/>
        </w:rPr>
        <w:t>概况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type w:val="continuous"/>
          <w:pgSz w:w="11906" w:h="16838"/>
          <w:pgMar w:top="2098" w:right="1474" w:bottom="1984" w:left="1587" w:header="720" w:footer="1559"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一、基本职能及主要工作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广元市工商业联合会</w:t>
      </w:r>
      <w:r>
        <w:rPr>
          <w:rFonts w:hint="eastAsia" w:ascii="楷体_GB2312" w:hAnsi="楷体_GB2312" w:eastAsia="楷体_GB2312" w:cs="楷体_GB2312"/>
          <w:sz w:val="32"/>
          <w:szCs w:val="32"/>
        </w:rPr>
        <w:t>职能简介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工商业联合会是中国共产党领导的以民营企业和民营经济人士为主体，具有统战性、经济性、民间性有机统一基本特征的人民团体和商会组织，是党和政府联系民营经济人士的桥梁纽带，是政府管理和服务民营经济的助手，是中国人民政治协商会议的重要组成部分。工商联工作是党的统一战线工作和经济工作的重要内容。工商联事业是中国特色社会主义事业的重要组成部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职能：1.加强和改进民营经济人士思想政治工作。2.参与政治协商，发挥民主监督作用，积极参政议政。3.协助政府管理和服务民营经济。4.培育和发展中国特色商会组织。5.培育和建设高素质的民营经济人士队伍。6.参与协调劳动关系，协同社会治理，促进社会和谐稳定。7.引导民营企业和民营经济人士依法治企、依法经营、依法维权。8.依法加强会产管理、经营和保护。</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广元市工商业联合会2025</w:t>
      </w:r>
      <w:r>
        <w:rPr>
          <w:rFonts w:hint="eastAsia" w:ascii="楷体_GB2312" w:hAnsi="楷体_GB2312" w:eastAsia="楷体_GB2312" w:cs="楷体_GB2312"/>
          <w:sz w:val="32"/>
          <w:szCs w:val="32"/>
        </w:rPr>
        <w:t>年重点工作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eastAsia="方正楷体简体" w:cs="Times New Roman"/>
          <w:snapToGrid w:val="0"/>
          <w:kern w:val="0"/>
          <w:sz w:val="32"/>
          <w:szCs w:val="32"/>
          <w:lang w:val="zh-TW" w:eastAsia="zh-CN" w:bidi="ar-SA"/>
        </w:rPr>
        <w:t>聚焦思想政治引领凝心聚力。</w:t>
      </w:r>
      <w:r>
        <w:rPr>
          <w:rFonts w:hint="eastAsia" w:ascii="仿宋_GB2312" w:hAnsi="仿宋_GB2312" w:eastAsia="仿宋_GB2312" w:cs="仿宋_GB2312"/>
          <w:b/>
          <w:bCs w:val="0"/>
          <w:kern w:val="2"/>
          <w:sz w:val="32"/>
          <w:szCs w:val="32"/>
          <w:lang w:val="zh-TW" w:eastAsia="zh-CN" w:bidi="ar-SA"/>
        </w:rPr>
        <w:t>一是</w:t>
      </w:r>
      <w:r>
        <w:rPr>
          <w:rFonts w:hint="eastAsia" w:ascii="仿宋_GB2312" w:hAnsi="仿宋_GB2312" w:eastAsia="仿宋_GB2312" w:cs="仿宋_GB2312"/>
          <w:bCs/>
          <w:kern w:val="2"/>
          <w:sz w:val="32"/>
          <w:szCs w:val="32"/>
          <w:lang w:val="en-US" w:eastAsia="zh-CN" w:bidi="ar-SA"/>
        </w:rPr>
        <w:t>加强政策宣传。持续加强党的二十大、二十届三中全会和省委、市委全会精神学习贯彻，引导民营经济人士增强发展信心</w:t>
      </w:r>
      <w:r>
        <w:rPr>
          <w:rFonts w:hint="eastAsia" w:ascii="仿宋_GB2312" w:hAnsi="仿宋_GB2312" w:eastAsia="仿宋_GB2312" w:cs="仿宋_GB2312"/>
          <w:bCs/>
          <w:kern w:val="2"/>
          <w:sz w:val="32"/>
          <w:szCs w:val="32"/>
          <w:lang w:val="zh-TW" w:eastAsia="zh-CN" w:bidi="ar-SA"/>
        </w:rPr>
        <w:t>。</w:t>
      </w:r>
      <w:r>
        <w:rPr>
          <w:rFonts w:hint="eastAsia" w:ascii="仿宋_GB2312" w:hAnsi="仿宋_GB2312" w:eastAsia="仿宋_GB2312" w:cs="仿宋_GB2312"/>
          <w:b/>
          <w:bCs w:val="0"/>
          <w:kern w:val="2"/>
          <w:sz w:val="32"/>
          <w:szCs w:val="32"/>
          <w:lang w:val="en-US" w:eastAsia="zh-CN" w:bidi="ar-SA"/>
        </w:rPr>
        <w:t>二是</w:t>
      </w:r>
      <w:r>
        <w:rPr>
          <w:rFonts w:hint="eastAsia" w:ascii="仿宋_GB2312" w:hAnsi="仿宋_GB2312" w:eastAsia="仿宋_GB2312" w:cs="仿宋_GB2312"/>
          <w:bCs/>
          <w:kern w:val="2"/>
          <w:sz w:val="32"/>
          <w:szCs w:val="32"/>
          <w:lang w:val="en-US" w:eastAsia="zh-CN" w:bidi="ar-SA"/>
        </w:rPr>
        <w:t>加强教育培养。开展理想信念教育实践活动，用好“民营经济大讲堂”“川商云课堂”等培训品牌，提升民营经济人士能力水平。</w:t>
      </w:r>
      <w:r>
        <w:rPr>
          <w:rFonts w:hint="eastAsia" w:ascii="仿宋_GB2312" w:hAnsi="仿宋_GB2312" w:eastAsia="仿宋_GB2312" w:cs="仿宋_GB2312"/>
          <w:b/>
          <w:bCs w:val="0"/>
          <w:kern w:val="2"/>
          <w:sz w:val="32"/>
          <w:szCs w:val="32"/>
          <w:lang w:val="en-US" w:eastAsia="zh-CN" w:bidi="ar-SA"/>
        </w:rPr>
        <w:t>三是</w:t>
      </w:r>
      <w:r>
        <w:rPr>
          <w:rFonts w:hint="eastAsia" w:ascii="仿宋_GB2312" w:hAnsi="仿宋_GB2312" w:eastAsia="仿宋_GB2312" w:cs="仿宋_GB2312"/>
          <w:bCs/>
          <w:kern w:val="2"/>
          <w:sz w:val="32"/>
          <w:szCs w:val="32"/>
          <w:lang w:val="en-US" w:eastAsia="zh-CN" w:bidi="ar-SA"/>
        </w:rPr>
        <w:t>突出示范引领。挖掘民营经济先进典型，推荐优秀民营企业和优秀企业家。</w:t>
      </w:r>
    </w:p>
    <w:p>
      <w:pPr>
        <w:pStyle w:val="19"/>
        <w:keepNext w:val="0"/>
        <w:keepLines w:val="0"/>
        <w:pageBreakBefore w:val="0"/>
        <w:widowControl w:val="0"/>
        <w:kinsoku/>
        <w:wordWrap/>
        <w:overflowPunct/>
        <w:topLinePunct w:val="0"/>
        <w:autoSpaceDE/>
        <w:autoSpaceDN/>
        <w:bidi w:val="0"/>
        <w:adjustRightInd/>
        <w:spacing w:line="576" w:lineRule="exact"/>
        <w:ind w:leftChars="0" w:firstLine="640" w:firstLineChars="200"/>
        <w:textAlignment w:val="auto"/>
        <w:rPr>
          <w:rFonts w:hint="eastAsia" w:ascii="仿宋_GB2312" w:hAnsi="仿宋_GB2312" w:eastAsia="仿宋_GB2312" w:cs="仿宋_GB2312"/>
          <w:bCs/>
          <w:kern w:val="2"/>
          <w:sz w:val="32"/>
          <w:szCs w:val="32"/>
          <w:lang w:val="zh-TW" w:eastAsia="zh-CN" w:bidi="ar-SA"/>
        </w:rPr>
      </w:pPr>
      <w:r>
        <w:rPr>
          <w:rFonts w:hint="eastAsia" w:ascii="楷体_GB2312" w:hAnsi="楷体_GB2312" w:eastAsia="楷体_GB2312" w:cs="楷体_GB2312"/>
          <w:kern w:val="2"/>
          <w:sz w:val="32"/>
          <w:szCs w:val="32"/>
          <w:lang w:val="zh-TW" w:eastAsia="zh-CN" w:bidi="ar-SA"/>
        </w:rPr>
        <w:t>聚焦重点改革贡献力量。</w:t>
      </w:r>
      <w:r>
        <w:rPr>
          <w:rFonts w:hint="eastAsia" w:ascii="仿宋_GB2312" w:hAnsi="仿宋_GB2312" w:eastAsia="仿宋_GB2312" w:cs="仿宋_GB2312"/>
          <w:b/>
          <w:bCs w:val="0"/>
          <w:kern w:val="2"/>
          <w:sz w:val="32"/>
          <w:szCs w:val="32"/>
          <w:lang w:val="zh-TW" w:eastAsia="zh-CN" w:bidi="ar-SA"/>
        </w:rPr>
        <w:t>一是</w:t>
      </w:r>
      <w:r>
        <w:rPr>
          <w:rFonts w:hint="eastAsia" w:ascii="仿宋_GB2312" w:hAnsi="仿宋_GB2312" w:eastAsia="仿宋_GB2312" w:cs="仿宋_GB2312"/>
          <w:bCs/>
          <w:kern w:val="2"/>
          <w:sz w:val="32"/>
          <w:szCs w:val="32"/>
          <w:lang w:val="zh-TW" w:eastAsia="zh-CN" w:bidi="ar-SA"/>
        </w:rPr>
        <w:t>助力重点产业创新发展。加强重点产业商协会建设，加大重点产业民营经济人士培养力度。</w:t>
      </w:r>
      <w:r>
        <w:rPr>
          <w:rFonts w:hint="eastAsia" w:ascii="仿宋_GB2312" w:hAnsi="仿宋_GB2312" w:eastAsia="仿宋_GB2312" w:cs="仿宋_GB2312"/>
          <w:b/>
          <w:bCs w:val="0"/>
          <w:kern w:val="2"/>
          <w:sz w:val="32"/>
          <w:szCs w:val="32"/>
          <w:lang w:val="zh-TW" w:eastAsia="zh-CN" w:bidi="ar-SA"/>
        </w:rPr>
        <w:t>二是</w:t>
      </w:r>
      <w:r>
        <w:rPr>
          <w:rFonts w:hint="eastAsia" w:ascii="仿宋_GB2312" w:hAnsi="仿宋_GB2312" w:eastAsia="仿宋_GB2312" w:cs="仿宋_GB2312"/>
          <w:bCs/>
          <w:kern w:val="2"/>
          <w:sz w:val="32"/>
          <w:szCs w:val="32"/>
          <w:lang w:val="zh-TW" w:eastAsia="zh-CN" w:bidi="ar-SA"/>
        </w:rPr>
        <w:t>助力产业发展体制创新。深入开展调查研究，找准制约重点产业发展的难点堵点痛点，精准提出针对性、可操作的意见建议。</w:t>
      </w:r>
      <w:r>
        <w:rPr>
          <w:rFonts w:hint="eastAsia" w:ascii="仿宋_GB2312" w:hAnsi="仿宋_GB2312" w:eastAsia="仿宋_GB2312" w:cs="仿宋_GB2312"/>
          <w:b/>
          <w:bCs w:val="0"/>
          <w:kern w:val="2"/>
          <w:sz w:val="32"/>
          <w:szCs w:val="32"/>
          <w:lang w:val="zh-TW" w:eastAsia="zh-CN" w:bidi="ar-SA"/>
        </w:rPr>
        <w:t>三是</w:t>
      </w:r>
      <w:r>
        <w:rPr>
          <w:rFonts w:hint="eastAsia" w:ascii="仿宋_GB2312" w:hAnsi="仿宋_GB2312" w:eastAsia="仿宋_GB2312" w:cs="仿宋_GB2312"/>
          <w:bCs/>
          <w:kern w:val="2"/>
          <w:sz w:val="32"/>
          <w:szCs w:val="32"/>
          <w:lang w:val="zh-TW" w:eastAsia="zh-CN" w:bidi="ar-SA"/>
        </w:rPr>
        <w:t>服务民营经济发展决策研究。</w:t>
      </w:r>
      <w:r>
        <w:rPr>
          <w:rFonts w:hint="eastAsia" w:ascii="仿宋_GB2312" w:hAnsi="仿宋_GB2312" w:eastAsia="仿宋_GB2312" w:cs="仿宋_GB2312"/>
          <w:bCs/>
          <w:kern w:val="2"/>
          <w:sz w:val="32"/>
          <w:szCs w:val="32"/>
          <w:lang w:val="en-US" w:eastAsia="zh-CN" w:bidi="ar-SA"/>
        </w:rPr>
        <w:t>高质量完成民营经济情况专项调查、“万家民营企业评营商环境”等工作，持续加强民营企业调查系统建设，调查问卷填报率保持90%以上。</w:t>
      </w:r>
      <w:r>
        <w:rPr>
          <w:rFonts w:hint="eastAsia" w:ascii="仿宋_GB2312" w:hAnsi="仿宋_GB2312" w:eastAsia="仿宋_GB2312" w:cs="仿宋_GB2312"/>
          <w:b/>
          <w:bCs w:val="0"/>
          <w:kern w:val="2"/>
          <w:sz w:val="32"/>
          <w:szCs w:val="32"/>
          <w:lang w:val="en-US" w:eastAsia="zh-CN" w:bidi="ar-SA"/>
        </w:rPr>
        <w:t>四是</w:t>
      </w:r>
      <w:r>
        <w:rPr>
          <w:rFonts w:hint="eastAsia" w:ascii="仿宋_GB2312" w:hAnsi="仿宋_GB2312" w:eastAsia="仿宋_GB2312" w:cs="仿宋_GB2312"/>
          <w:bCs/>
          <w:kern w:val="2"/>
          <w:sz w:val="32"/>
          <w:szCs w:val="32"/>
          <w:lang w:val="en-US" w:eastAsia="zh-CN" w:bidi="ar-SA"/>
        </w:rPr>
        <w:t>推动“四项机制”“三项制度”改革。</w:t>
      </w:r>
      <w:r>
        <w:rPr>
          <w:rFonts w:hint="eastAsia" w:ascii="仿宋_GB2312" w:hAnsi="仿宋_GB2312" w:eastAsia="仿宋_GB2312" w:cs="仿宋_GB2312"/>
          <w:bCs/>
          <w:kern w:val="2"/>
          <w:sz w:val="32"/>
          <w:szCs w:val="32"/>
          <w:lang w:val="zh-TW" w:eastAsia="zh-CN" w:bidi="ar-SA"/>
        </w:rPr>
        <w:t>健全工作体系和机制，完善推动民营企业治理变革、深化工商联所属商会改革、工商联组织体系改革的制度。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sz w:val="32"/>
          <w:szCs w:val="32"/>
          <w:lang w:val="en-US" w:eastAsia="zh-CN"/>
        </w:rPr>
        <w:t>聚焦中心大局服务发展。</w:t>
      </w:r>
      <w:r>
        <w:rPr>
          <w:rFonts w:hint="eastAsia" w:ascii="仿宋_GB2312" w:hAnsi="仿宋_GB2312" w:eastAsia="仿宋_GB2312" w:cs="仿宋_GB2312"/>
          <w:b/>
          <w:bCs w:val="0"/>
          <w:kern w:val="2"/>
          <w:sz w:val="32"/>
          <w:szCs w:val="32"/>
          <w:lang w:val="en-US" w:eastAsia="zh-CN" w:bidi="ar-SA"/>
        </w:rPr>
        <w:t>一是</w:t>
      </w:r>
      <w:r>
        <w:rPr>
          <w:rFonts w:hint="eastAsia" w:ascii="仿宋_GB2312" w:hAnsi="仿宋_GB2312" w:eastAsia="仿宋_GB2312" w:cs="仿宋_GB2312"/>
          <w:bCs/>
          <w:kern w:val="2"/>
          <w:sz w:val="32"/>
          <w:szCs w:val="32"/>
          <w:lang w:val="en-US" w:eastAsia="zh-CN" w:bidi="ar-SA"/>
        </w:rPr>
        <w:t>积极建言资政。持续深入开展“大走访大调研大服务”活动，积极搭建履职平台建言献策。</w:t>
      </w:r>
      <w:r>
        <w:rPr>
          <w:rFonts w:hint="eastAsia" w:ascii="仿宋_GB2312" w:hAnsi="仿宋_GB2312" w:eastAsia="仿宋_GB2312" w:cs="仿宋_GB2312"/>
          <w:b/>
          <w:bCs w:val="0"/>
          <w:kern w:val="2"/>
          <w:sz w:val="32"/>
          <w:szCs w:val="32"/>
          <w:lang w:val="en-US" w:eastAsia="zh-CN" w:bidi="ar-SA"/>
        </w:rPr>
        <w:t>二是</w:t>
      </w:r>
      <w:r>
        <w:rPr>
          <w:rFonts w:hint="eastAsia" w:ascii="仿宋_GB2312" w:hAnsi="仿宋_GB2312" w:eastAsia="仿宋_GB2312" w:cs="仿宋_GB2312"/>
          <w:bCs/>
          <w:kern w:val="2"/>
          <w:sz w:val="32"/>
          <w:szCs w:val="32"/>
          <w:lang w:val="en-US" w:eastAsia="zh-CN" w:bidi="ar-SA"/>
        </w:rPr>
        <w:t>助力发展环境优化。加强与职能部门协作，搭建政企交流平台。深化惠企政策“一站式”兑现工作，促进惠企政策落实。参与营商环境“背靠背”测评、民营企业投诉协调办理活动，助力优化营商环境。</w:t>
      </w:r>
      <w:r>
        <w:rPr>
          <w:rFonts w:hint="eastAsia" w:ascii="仿宋_GB2312" w:hAnsi="仿宋_GB2312" w:eastAsia="仿宋_GB2312" w:cs="仿宋_GB2312"/>
          <w:b/>
          <w:bCs w:val="0"/>
          <w:kern w:val="2"/>
          <w:sz w:val="32"/>
          <w:szCs w:val="32"/>
          <w:lang w:val="en-US" w:eastAsia="zh-CN" w:bidi="ar-SA"/>
        </w:rPr>
        <w:t>三是</w:t>
      </w:r>
      <w:r>
        <w:rPr>
          <w:rFonts w:hint="eastAsia" w:ascii="仿宋_GB2312" w:hAnsi="仿宋_GB2312" w:eastAsia="仿宋_GB2312" w:cs="仿宋_GB2312"/>
          <w:bCs/>
          <w:kern w:val="2"/>
          <w:sz w:val="32"/>
          <w:szCs w:val="32"/>
          <w:lang w:val="en-US" w:eastAsia="zh-CN" w:bidi="ar-SA"/>
        </w:rPr>
        <w:t>加强对外交流合作。组织企业外出考察学习，开展经贸交流活动。</w:t>
      </w:r>
      <w:r>
        <w:rPr>
          <w:rFonts w:hint="eastAsia" w:ascii="仿宋_GB2312" w:hAnsi="仿宋_GB2312" w:eastAsia="仿宋_GB2312" w:cs="仿宋_GB2312"/>
          <w:b/>
          <w:bCs w:val="0"/>
          <w:kern w:val="2"/>
          <w:sz w:val="32"/>
          <w:szCs w:val="32"/>
          <w:lang w:val="en-US" w:eastAsia="zh-CN" w:bidi="ar-SA"/>
        </w:rPr>
        <w:t>四是</w:t>
      </w:r>
      <w:r>
        <w:rPr>
          <w:rFonts w:hint="eastAsia" w:ascii="仿宋_GB2312" w:hAnsi="仿宋_GB2312" w:eastAsia="仿宋_GB2312" w:cs="仿宋_GB2312"/>
          <w:bCs/>
          <w:kern w:val="2"/>
          <w:sz w:val="32"/>
          <w:szCs w:val="32"/>
          <w:lang w:val="en-US" w:eastAsia="zh-CN" w:bidi="ar-SA"/>
        </w:rPr>
        <w:t>助力民营企业纾困解难。畅通民营企业困难问题收集反馈渠道，及时化解企业困难问题。</w:t>
      </w:r>
      <w:r>
        <w:rPr>
          <w:rFonts w:hint="eastAsia" w:ascii="仿宋_GB2312" w:hAnsi="仿宋_GB2312" w:eastAsia="仿宋_GB2312" w:cs="仿宋_GB2312"/>
          <w:b/>
          <w:bCs w:val="0"/>
          <w:kern w:val="2"/>
          <w:sz w:val="32"/>
          <w:szCs w:val="32"/>
          <w:lang w:val="en-US" w:eastAsia="zh-CN" w:bidi="ar-SA"/>
        </w:rPr>
        <w:t>五是</w:t>
      </w:r>
      <w:r>
        <w:rPr>
          <w:rFonts w:hint="eastAsia" w:ascii="仿宋_GB2312" w:hAnsi="仿宋_GB2312" w:eastAsia="仿宋_GB2312" w:cs="仿宋_GB2312"/>
          <w:bCs/>
          <w:kern w:val="2"/>
          <w:sz w:val="32"/>
          <w:szCs w:val="32"/>
          <w:lang w:val="en-US" w:eastAsia="zh-CN" w:bidi="ar-SA"/>
        </w:rPr>
        <w:t>深化法律服务。开展“清廉商会”、“清廉民企”建设，推进民营企业合规建设。</w:t>
      </w:r>
      <w:r>
        <w:rPr>
          <w:rFonts w:hint="eastAsia" w:ascii="仿宋_GB2312" w:hAnsi="仿宋_GB2312" w:eastAsia="仿宋_GB2312" w:cs="仿宋_GB2312"/>
          <w:b/>
          <w:bCs w:val="0"/>
          <w:kern w:val="2"/>
          <w:sz w:val="32"/>
          <w:szCs w:val="32"/>
          <w:lang w:val="en-US" w:eastAsia="zh-CN" w:bidi="ar-SA"/>
        </w:rPr>
        <w:t>六是</w:t>
      </w:r>
      <w:r>
        <w:rPr>
          <w:rFonts w:hint="eastAsia" w:ascii="仿宋_GB2312" w:hAnsi="仿宋_GB2312" w:eastAsia="仿宋_GB2312" w:cs="仿宋_GB2312"/>
          <w:bCs/>
          <w:kern w:val="2"/>
          <w:sz w:val="32"/>
          <w:szCs w:val="32"/>
          <w:lang w:val="en-US" w:eastAsia="zh-CN" w:bidi="ar-SA"/>
        </w:rPr>
        <w:t>助力乡村振兴。深化“万企兴万村”行动和欠发达县域托底性帮扶工作。</w:t>
      </w:r>
    </w:p>
    <w:p>
      <w:pPr>
        <w:keepNext w:val="0"/>
        <w:keepLines w:val="0"/>
        <w:pageBreakBefore w:val="0"/>
        <w:widowControl/>
        <w:suppressLineNumbers w:val="0"/>
        <w:kinsoku/>
        <w:wordWrap/>
        <w:overflowPunct/>
        <w:topLinePunct w:val="0"/>
        <w:autoSpaceDE/>
        <w:autoSpaceDN/>
        <w:bidi w:val="0"/>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方正楷体简体" w:hAnsi="方正楷体简体" w:eastAsia="方正楷体简体" w:cs="方正楷体简体"/>
          <w:kern w:val="2"/>
          <w:sz w:val="32"/>
          <w:szCs w:val="32"/>
          <w:lang w:val="en-US" w:eastAsia="zh-CN" w:bidi="ar-SA"/>
        </w:rPr>
        <w:t>聚焦自身建设提能增效。</w:t>
      </w:r>
      <w:r>
        <w:rPr>
          <w:rFonts w:hint="eastAsia" w:ascii="仿宋_GB2312" w:hAnsi="仿宋_GB2312" w:eastAsia="仿宋_GB2312" w:cs="仿宋_GB2312"/>
          <w:b/>
          <w:bCs w:val="0"/>
          <w:kern w:val="2"/>
          <w:sz w:val="32"/>
          <w:szCs w:val="32"/>
          <w:lang w:val="en-US" w:eastAsia="zh-CN" w:bidi="ar-SA"/>
        </w:rPr>
        <w:t>一是</w:t>
      </w:r>
      <w:r>
        <w:rPr>
          <w:rFonts w:hint="eastAsia" w:ascii="仿宋_GB2312" w:hAnsi="仿宋_GB2312" w:eastAsia="仿宋_GB2312" w:cs="仿宋_GB2312"/>
          <w:bCs/>
          <w:kern w:val="2"/>
          <w:sz w:val="32"/>
          <w:szCs w:val="32"/>
          <w:lang w:val="en-US" w:eastAsia="zh-CN" w:bidi="ar-SA"/>
        </w:rPr>
        <w:t>壮大会员队伍。全市会员数增长10%以上。</w:t>
      </w:r>
      <w:r>
        <w:rPr>
          <w:rFonts w:hint="eastAsia" w:ascii="仿宋_GB2312" w:hAnsi="仿宋_GB2312" w:eastAsia="仿宋_GB2312" w:cs="仿宋_GB2312"/>
          <w:b/>
          <w:bCs w:val="0"/>
          <w:kern w:val="2"/>
          <w:sz w:val="32"/>
          <w:szCs w:val="32"/>
          <w:lang w:val="en-US" w:eastAsia="zh-CN" w:bidi="ar-SA"/>
        </w:rPr>
        <w:t>二是</w:t>
      </w:r>
      <w:r>
        <w:rPr>
          <w:rFonts w:hint="eastAsia" w:ascii="仿宋_GB2312" w:hAnsi="仿宋_GB2312" w:eastAsia="仿宋_GB2312" w:cs="仿宋_GB2312"/>
          <w:bCs/>
          <w:kern w:val="2"/>
          <w:sz w:val="32"/>
          <w:szCs w:val="32"/>
          <w:lang w:val="en-US" w:eastAsia="zh-CN" w:bidi="ar-SA"/>
        </w:rPr>
        <w:t>建设中国特色商会组织。加强商会建设，促进商会健康运行，创建“四好”商会。</w:t>
      </w:r>
      <w:r>
        <w:rPr>
          <w:rFonts w:hint="eastAsia" w:ascii="仿宋_GB2312" w:hAnsi="仿宋_GB2312" w:eastAsia="仿宋_GB2312" w:cs="仿宋_GB2312"/>
          <w:b/>
          <w:bCs w:val="0"/>
          <w:kern w:val="2"/>
          <w:sz w:val="32"/>
          <w:szCs w:val="32"/>
          <w:lang w:val="en-US" w:eastAsia="zh-CN" w:bidi="ar-SA"/>
        </w:rPr>
        <w:t>三是</w:t>
      </w:r>
      <w:r>
        <w:rPr>
          <w:rFonts w:hint="eastAsia" w:ascii="仿宋_GB2312" w:hAnsi="仿宋_GB2312" w:eastAsia="仿宋_GB2312" w:cs="仿宋_GB2312"/>
          <w:bCs/>
          <w:kern w:val="2"/>
          <w:sz w:val="32"/>
          <w:szCs w:val="32"/>
          <w:lang w:val="en-US" w:eastAsia="zh-CN" w:bidi="ar-SA"/>
        </w:rPr>
        <w:t>加强工商联机关建设，营造干事创业的良好氛围。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广元市工商业联合会属一级预算单位，</w:t>
      </w:r>
      <w:r>
        <w:rPr>
          <w:rFonts w:hint="eastAsia" w:ascii="仿宋_GB2312" w:hAnsi="仿宋_GB2312" w:eastAsia="仿宋_GB2312" w:cs="仿宋_GB2312"/>
          <w:bCs/>
          <w:sz w:val="32"/>
          <w:szCs w:val="32"/>
          <w:lang w:val="en-US" w:eastAsia="zh-CN"/>
        </w:rPr>
        <w:t>部门预算仅包括本级预算，</w:t>
      </w:r>
      <w:r>
        <w:rPr>
          <w:rFonts w:hint="eastAsia" w:ascii="仿宋_GB2312" w:eastAsia="仿宋_GB2312"/>
          <w:sz w:val="32"/>
          <w:szCs w:val="32"/>
        </w:rPr>
        <w:t>无下属二级预算单</w:t>
      </w:r>
      <w:r>
        <w:rPr>
          <w:rFonts w:hint="eastAsia" w:ascii="仿宋_GB2312" w:eastAsia="仿宋_GB2312"/>
          <w:sz w:val="32"/>
          <w:szCs w:val="32"/>
          <w:lang w:val="en-US" w:eastAsia="zh-CN"/>
        </w:rPr>
        <w:t>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pStyle w:val="5"/>
        <w:rPr>
          <w:rFonts w:hint="eastAsia"/>
          <w:lang w:val="en-US" w:eastAsia="zh-CN"/>
        </w:rPr>
        <w:sectPr>
          <w:pgSz w:w="11906" w:h="16838"/>
          <w:pgMar w:top="2098" w:right="1474" w:bottom="1984" w:left="1587" w:header="720" w:footer="1559" w:gutter="0"/>
          <w:pgNumType w:fmt="decimal"/>
          <w:cols w:space="0" w:num="1"/>
          <w:rtlGutter w:val="0"/>
          <w:docGrid w:type="lines" w:linePitch="312" w:charSpace="0"/>
        </w:sect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广元市工商业联合会2025年部门 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pgSz w:w="11906" w:h="16838"/>
          <w:pgMar w:top="2098" w:right="1474" w:bottom="1984" w:left="1587" w:header="720" w:footer="1559"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一、收支预算情况说明</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综合预算的原则，广元市工商业联合会所有收入和支出均纳入部门预算管理。收入包括：一般公共预算拨款收入；支出包括：一般公共服务支出、社会保障和就业支出、卫生健康支出、住房保障支出。广元市工商业联合会2025年收支预算总数384.54万元，</w:t>
      </w:r>
      <w:r>
        <w:rPr>
          <w:rFonts w:hint="eastAsia" w:ascii="仿宋_GB2312" w:eastAsia="仿宋_GB2312"/>
          <w:sz w:val="32"/>
          <w:szCs w:val="32"/>
        </w:rPr>
        <w:t>较202</w:t>
      </w:r>
      <w:r>
        <w:rPr>
          <w:rFonts w:hint="eastAsia" w:ascii="仿宋_GB2312" w:eastAsia="仿宋_GB2312"/>
          <w:sz w:val="32"/>
          <w:szCs w:val="32"/>
          <w:lang w:val="en-US" w:eastAsia="zh-CN"/>
        </w:rPr>
        <w:t>4</w:t>
      </w:r>
      <w:r>
        <w:rPr>
          <w:rFonts w:hint="eastAsia" w:ascii="仿宋_GB2312" w:eastAsia="仿宋_GB2312"/>
          <w:sz w:val="32"/>
          <w:szCs w:val="32"/>
        </w:rPr>
        <w:t>年部门预算收入总数</w:t>
      </w:r>
      <w:r>
        <w:rPr>
          <w:rFonts w:hint="eastAsia" w:ascii="仿宋_GB2312" w:hAnsi="仿宋_GB2312" w:eastAsia="仿宋_GB2312" w:cs="仿宋_GB2312"/>
          <w:sz w:val="32"/>
          <w:szCs w:val="32"/>
        </w:rPr>
        <w:t>395.67万元,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11.13</w:t>
      </w:r>
      <w:r>
        <w:rPr>
          <w:rFonts w:hint="eastAsia" w:ascii="仿宋_GB2312" w:eastAsia="仿宋_GB2312"/>
          <w:sz w:val="32"/>
          <w:szCs w:val="32"/>
        </w:rPr>
        <w:t>万元，</w:t>
      </w:r>
      <w:r>
        <w:rPr>
          <w:rFonts w:hint="eastAsia" w:ascii="仿宋_GB2312" w:hAnsi="仿宋_GB2312" w:eastAsia="仿宋_GB2312" w:cs="仿宋_GB2312"/>
          <w:sz w:val="32"/>
          <w:szCs w:val="32"/>
          <w:lang w:val="en-US" w:eastAsia="zh-CN"/>
        </w:rPr>
        <w:t>主要原因是退休工作人员一名，相应减少了人员类及公用类经费预算。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广元市工商业联合会2025年收入预算384.54万元，其中：一般公共预算拨款收入384.54万元，占100%。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广元市工商业联合会2025年支出预算384.54万元，其中：基本支出368.97万元，占96%；项目支出15.57万元，占4%</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二、财政拨款收支预算情况说明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广元市工商业联合会2025年财政拨款收支预算总数384.54万元,比2024年财政拨款收支预算总数减少11.13万元。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收入包括：本年一般公共预算拨款收入384.54万元；支出包括：一般公共服务支出318.9万元、社会保障和就业支出30.58万元、卫生健康支出9.76万元、住房保障支出25.31万元。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三、一般公共预算当年拨款情况说明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广元市工商业联合会2025年一般公共预算当年拨款384.54万元，比2024年预算数减少11.13万元，主要原因是退休工作人员一名，相应减少了人员类及公用类经费预算。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一般公共服务支出318.9万元，占82.93%；社会保障和就业支出30.58万元，占7.95%；卫生健康支出9.76万元，占2.54%；住房保障支出25.31万元，占6.58%。</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一般公共服务（类）</w:t>
      </w:r>
      <w:r>
        <w:rPr>
          <w:rFonts w:hint="eastAsia" w:ascii="仿宋_GB2312" w:eastAsia="仿宋_GB2312"/>
          <w:sz w:val="32"/>
          <w:szCs w:val="32"/>
        </w:rPr>
        <w:t>民主党派及工商联事务</w:t>
      </w:r>
      <w:r>
        <w:rPr>
          <w:rFonts w:hint="eastAsia" w:ascii="仿宋_GB2312" w:hAnsi="仿宋_GB2312" w:eastAsia="仿宋_GB2312" w:cs="仿宋_GB2312"/>
          <w:sz w:val="32"/>
          <w:szCs w:val="32"/>
          <w:lang w:val="en-US" w:eastAsia="zh-CN"/>
        </w:rPr>
        <w:t>（款）</w:t>
      </w:r>
      <w:r>
        <w:rPr>
          <w:rFonts w:hint="eastAsia" w:ascii="仿宋_GB2312" w:eastAsia="仿宋_GB2312"/>
          <w:sz w:val="32"/>
          <w:szCs w:val="32"/>
        </w:rPr>
        <w:t>行政运行</w:t>
      </w:r>
      <w:r>
        <w:rPr>
          <w:rFonts w:hint="eastAsia" w:ascii="仿宋_GB2312" w:hAnsi="仿宋_GB2312" w:eastAsia="仿宋_GB2312" w:cs="仿宋_GB2312"/>
          <w:sz w:val="32"/>
          <w:szCs w:val="32"/>
          <w:lang w:val="en-US" w:eastAsia="zh-CN"/>
        </w:rPr>
        <w:t>（项）2025年预算数为294.57万元，主要用于：</w:t>
      </w:r>
      <w:r>
        <w:rPr>
          <w:rFonts w:hint="eastAsia" w:ascii="仿宋_GB2312" w:eastAsia="仿宋_GB2312"/>
          <w:sz w:val="32"/>
          <w:szCs w:val="32"/>
        </w:rPr>
        <w:t>行政单位工资奖金津补贴、其他工资福利支出、办公经费、印刷费、水费、电费、邮电费、会议费、差旅费、会议费、培训费、公务接待费、其他交通费用、其他商品和服务支出、党建经费、退休人员活动经费、其他对个人和家庭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一般公共服务（类）</w:t>
      </w:r>
      <w:r>
        <w:rPr>
          <w:rFonts w:hint="eastAsia" w:ascii="仿宋_GB2312" w:eastAsia="仿宋_GB2312"/>
          <w:sz w:val="32"/>
          <w:szCs w:val="32"/>
        </w:rPr>
        <w:t>民主党派及工商联事务</w:t>
      </w:r>
      <w:r>
        <w:rPr>
          <w:rFonts w:hint="eastAsia" w:ascii="仿宋_GB2312" w:hAnsi="仿宋_GB2312" w:eastAsia="仿宋_GB2312" w:cs="仿宋_GB2312"/>
          <w:sz w:val="32"/>
          <w:szCs w:val="32"/>
          <w:lang w:val="en-US" w:eastAsia="zh-CN"/>
        </w:rPr>
        <w:t>（款）</w:t>
      </w:r>
      <w:r>
        <w:rPr>
          <w:rFonts w:hint="eastAsia" w:ascii="仿宋_GB2312" w:eastAsia="仿宋_GB2312"/>
          <w:sz w:val="32"/>
          <w:szCs w:val="32"/>
        </w:rPr>
        <w:t>一般行政管理事务</w:t>
      </w:r>
      <w:r>
        <w:rPr>
          <w:rFonts w:hint="eastAsia" w:ascii="仿宋_GB2312" w:eastAsia="仿宋_GB2312"/>
          <w:sz w:val="32"/>
          <w:szCs w:val="32"/>
          <w:lang w:eastAsia="zh-CN"/>
        </w:rPr>
        <w:t>（项）</w:t>
      </w:r>
      <w:r>
        <w:rPr>
          <w:rFonts w:hint="eastAsia" w:ascii="仿宋_GB2312" w:hAnsi="仿宋_GB2312" w:eastAsia="仿宋_GB2312" w:cs="仿宋_GB2312"/>
          <w:sz w:val="32"/>
          <w:szCs w:val="32"/>
          <w:lang w:val="en-US" w:eastAsia="zh-CN"/>
        </w:rPr>
        <w:t>2025年预算数为24.33万元，主要用于乡村振兴、党建及商协会组织建设、宣传教育调研工作、经济法律社会服务工作以及食堂保障费用。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3.社会保障和就业（类）行政事业单位养老支出（款）机关事业单位基本养老保险缴费支出（项）2025年预算数为30.16万元，主要用于：实施养老保险制度由单位缴纳的基本养老保险支出。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4.社会保障和就业（类）行政事业单位养老支出（款）</w:t>
      </w:r>
      <w:r>
        <w:rPr>
          <w:rFonts w:hint="eastAsia" w:ascii="仿宋_GB2312" w:eastAsia="仿宋_GB2312"/>
          <w:sz w:val="32"/>
          <w:szCs w:val="32"/>
        </w:rPr>
        <w:t>其他社会保障和就业支出（项）</w:t>
      </w:r>
      <w:r>
        <w:rPr>
          <w:rFonts w:hint="eastAsia" w:ascii="仿宋_GB2312" w:hAnsi="仿宋_GB2312" w:eastAsia="仿宋_GB2312" w:cs="仿宋_GB2312"/>
          <w:sz w:val="32"/>
          <w:szCs w:val="32"/>
          <w:lang w:val="en-US" w:eastAsia="zh-CN"/>
        </w:rPr>
        <w:t>2025年预算数为0.42万元，主要用于：</w:t>
      </w:r>
      <w:r>
        <w:rPr>
          <w:rFonts w:hint="eastAsia" w:ascii="仿宋_GB2312" w:eastAsia="仿宋_GB2312"/>
          <w:sz w:val="32"/>
          <w:szCs w:val="32"/>
        </w:rPr>
        <w:t>机关及参公管理事业单位按规定由单位缴纳的工伤保险支出</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5.卫生健康（类）行政事业单位医疗（款）行政单位医疗（项）2025年预算数为9.76万元，主要用于：机关及参公管理事业单位按规定由单位缴纳的基本医疗保险支出。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6.住房保障（类）住房改革支出（款）住房公积金（项）2025年预算数为25.31万元，主要用于：部门按规定为职工缴纳的住房公积金支出。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四、一般公共预算基本支出情况说明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广元市工商业联合会2025年一般公共预算基本支出368.97万元，其中：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人员经费311.83万元，主要包括：基本工资、津贴补贴、奖金、社会保险缴费、住房公积金、生活补助等支出。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公用经费57.14万元，主要包括：办公费、印刷费、水费、电费、邮电费、差旅费、公务接待费、工会经费、福利费、其他交通费用、</w:t>
      </w:r>
      <w:r>
        <w:rPr>
          <w:rFonts w:hint="eastAsia" w:ascii="仿宋_GB2312" w:eastAsia="仿宋_GB2312"/>
          <w:sz w:val="32"/>
          <w:szCs w:val="32"/>
        </w:rPr>
        <w:t>其他商品和服务支出</w:t>
      </w:r>
      <w:r>
        <w:rPr>
          <w:rFonts w:hint="eastAsia" w:ascii="仿宋_GB2312" w:hAnsi="仿宋_GB2312" w:eastAsia="仿宋_GB2312" w:cs="仿宋_GB2312"/>
          <w:sz w:val="32"/>
          <w:szCs w:val="32"/>
          <w:lang w:val="en-US" w:eastAsia="zh-CN"/>
        </w:rPr>
        <w:t>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五、“三公”经费财政拨款预算安排情况说明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广元市工商业联合会2025年“三公”经费财政拨款预算数1.8万元，其中：公务接待费1.8万元，公务用车购置及运行维护费0万元，因公出国（境）经费0万元。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（一）公务接待费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公务接待费与2024年预算相比</w:t>
      </w:r>
      <w:r>
        <w:rPr>
          <w:rFonts w:hint="eastAsia" w:ascii="仿宋_GB2312" w:hAnsi="仿宋_GB2312" w:eastAsia="仿宋_GB2312" w:cs="仿宋_GB2312"/>
          <w:sz w:val="32"/>
          <w:szCs w:val="32"/>
          <w:highlight w:val="none"/>
          <w:lang w:val="en-US" w:eastAsia="zh-CN"/>
        </w:rPr>
        <w:t>下降0.1万元，</w:t>
      </w:r>
      <w:r>
        <w:rPr>
          <w:rFonts w:hint="eastAsia" w:ascii="仿宋_GB2312" w:hAnsi="仿宋_GB2312" w:eastAsia="仿宋_GB2312" w:cs="仿宋_GB2312"/>
          <w:sz w:val="32"/>
          <w:szCs w:val="32"/>
          <w:lang w:val="en-US" w:eastAsia="zh-CN"/>
        </w:rPr>
        <w:t>主要原因是本着厉行节约的原则，响应政府过“紧日子”号召，压减公务接待费用。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2025年公务接待费计划用于执行接待考察调研、检查指导等公务活动开支的交通费、住宿费、用餐费等。</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公务用车购置及运行维护费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公务用车购置及运行维护费与2024年预算相比</w:t>
      </w:r>
      <w:r>
        <w:rPr>
          <w:rFonts w:hint="eastAsia" w:ascii="仿宋_GB2312" w:hAnsi="仿宋_GB2312" w:eastAsia="仿宋_GB2312" w:cs="仿宋_GB2312"/>
          <w:sz w:val="32"/>
          <w:szCs w:val="32"/>
          <w:highlight w:val="none"/>
          <w:lang w:val="en-US" w:eastAsia="zh-CN"/>
        </w:rPr>
        <w:t>持平</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单位现有公务用车0辆。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2025年安排公务用车购置费0万元。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2025年安排公务用车运行维护费0万元。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三）因公出国（境）经费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因公出国（境）经费与2024年预算持平，部门预算未编列因公出国（境）经费，未安排出国（境）任务和计划。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六、政府性基金预算支出情况说明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广元市工商业联合会2025年无政府性基金预算拨款安排的支出。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七、国有资本经营预算支出情况说明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广元市工商业联合会2025年无国有资本经营预算拨款安排的支出。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八、其他重要事项的情况说明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（一）机关运行经费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lang w:eastAsia="zh-CN"/>
        </w:rPr>
        <w:t>广元市工商业联合会</w:t>
      </w:r>
      <w:r>
        <w:rPr>
          <w:rFonts w:hint="eastAsia" w:ascii="仿宋_GB2312" w:hAnsi="仿宋_GB2312" w:eastAsia="仿宋_GB2312" w:cs="仿宋_GB2312"/>
          <w:sz w:val="32"/>
          <w:szCs w:val="32"/>
        </w:rPr>
        <w:t>机关运行经费财政拨款预算为</w:t>
      </w:r>
      <w:r>
        <w:rPr>
          <w:rFonts w:hint="eastAsia" w:ascii="仿宋_GB2312" w:hAnsi="仿宋_GB2312" w:eastAsia="仿宋_GB2312" w:cs="仿宋_GB2312"/>
          <w:sz w:val="32"/>
          <w:szCs w:val="32"/>
          <w:lang w:val="en-US" w:eastAsia="zh-CN"/>
        </w:rPr>
        <w:t>57.14</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年预算增加</w:t>
      </w:r>
      <w:r>
        <w:rPr>
          <w:rFonts w:hint="eastAsia" w:ascii="仿宋_GB2312" w:hAnsi="仿宋_GB2312" w:eastAsia="仿宋_GB2312" w:cs="仿宋_GB2312"/>
          <w:sz w:val="32"/>
          <w:szCs w:val="32"/>
          <w:lang w:val="en-US" w:eastAsia="zh-CN"/>
        </w:rPr>
        <w:t>7.04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是新增了食堂保障经费</w:t>
      </w:r>
      <w:r>
        <w:rPr>
          <w:rFonts w:hint="eastAsia" w:ascii="仿宋_GB2312" w:hAnsi="仿宋_GB2312" w:eastAsia="仿宋_GB2312" w:cs="仿宋_GB2312"/>
          <w:sz w:val="32"/>
          <w:szCs w:val="32"/>
          <w:lang w:val="en-US" w:eastAsia="zh-CN"/>
        </w:rPr>
        <w:t>8.76万元，同时因退休一名职工减少了公用经费1.72万元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（二）政府采购情况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eastAsia="zh-CN"/>
        </w:rPr>
        <w:t>广元市工商业联合会</w:t>
      </w:r>
      <w:r>
        <w:rPr>
          <w:rFonts w:hint="eastAsia" w:ascii="仿宋_GB2312" w:hAnsi="仿宋_GB2312" w:eastAsia="仿宋_GB2312" w:cs="仿宋_GB2312"/>
          <w:sz w:val="32"/>
          <w:szCs w:val="32"/>
          <w:lang w:val="en-US" w:eastAsia="zh-CN"/>
        </w:rPr>
        <w:t>2025年无政府采购预算安排。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截至2024年底，</w:t>
      </w:r>
      <w:r>
        <w:rPr>
          <w:rFonts w:hint="eastAsia" w:ascii="仿宋_GB2312" w:hAnsi="仿宋_GB2312" w:eastAsia="仿宋_GB2312" w:cs="仿宋_GB2312"/>
          <w:sz w:val="32"/>
          <w:szCs w:val="32"/>
          <w:lang w:eastAsia="zh-CN"/>
        </w:rPr>
        <w:t>广元市工商业联合会</w:t>
      </w:r>
      <w:r>
        <w:rPr>
          <w:rFonts w:hint="eastAsia" w:ascii="仿宋_GB2312" w:hAnsi="仿宋_GB2312" w:eastAsia="仿宋_GB2312" w:cs="仿宋_GB2312"/>
          <w:sz w:val="32"/>
          <w:szCs w:val="32"/>
          <w:lang w:val="en-US" w:eastAsia="zh-CN"/>
        </w:rPr>
        <w:t>共有车辆0辆，单位价值200万元以上大型设备0台（套）。2025年部门预算未安排购置车辆及单位价值200万元以上大型设备。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（四）绩效目标设置情况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lang w:eastAsia="zh-CN"/>
        </w:rPr>
        <w:t>广元市工商业联合</w:t>
      </w:r>
      <w:r>
        <w:rPr>
          <w:rFonts w:hint="eastAsia" w:ascii="仿宋_GB2312" w:hAnsi="仿宋_GB2312" w:eastAsia="仿宋_GB2312" w:cs="仿宋_GB2312"/>
          <w:sz w:val="32"/>
          <w:szCs w:val="32"/>
          <w:lang w:val="en-US" w:eastAsia="zh-CN"/>
        </w:rPr>
        <w:t>开展绩效目标管理的项目14个，涉及预算384.54万元。其中：人员类项目6个，涉及预算311.83万元；运转类项目4个，涉及预算57.14万元；特定目标类项目4个，涉及预算15.57万元。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bCs/>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名词解释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一、财政拨款收入:</w:t>
      </w:r>
      <w:r>
        <w:rPr>
          <w:rFonts w:hint="eastAsia" w:ascii="仿宋_GB2312" w:hAnsi="仿宋_GB2312" w:eastAsia="仿宋_GB2312" w:cs="仿宋_GB2312"/>
          <w:sz w:val="32"/>
          <w:szCs w:val="32"/>
          <w:lang w:val="en-US" w:eastAsia="zh-CN"/>
        </w:rPr>
        <w:t>指市财政当年安排的财政预算收入。按现行管理制度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部门预算中反映的财政拨款包括一般公共预算拨款和政府性基金预算拨款。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二、一般公共服务（类）民主党派及工商联事务（款）行政运行（项）</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指机关单位用于保障机构正常运行、开展日常工作的基本支出。</w:t>
      </w:r>
      <w:r>
        <w:rPr>
          <w:rFonts w:hint="eastAsia" w:ascii="仿宋_GB2312" w:hAnsi="仿宋_GB2312" w:eastAsia="仿宋_GB2312" w:cs="仿宋_GB2312"/>
          <w:sz w:val="32"/>
          <w:szCs w:val="32"/>
          <w:lang w:val="en-US" w:eastAsia="zh-CN"/>
        </w:rPr>
        <w:br w:type="textWrapping"/>
      </w:r>
      <w:r>
        <w:rPr>
          <w:rFonts w:hint="eastAsia" w:ascii="黑体" w:hAnsi="黑体" w:eastAsia="黑体" w:cs="黑体"/>
          <w:sz w:val="32"/>
          <w:szCs w:val="32"/>
          <w:lang w:val="en-US" w:eastAsia="zh-CN"/>
        </w:rPr>
        <w:t>　　三、一般公共服务（类）民主党派及工商联事务（款）一般行政管理事务（项）</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指机关单位开展</w:t>
      </w:r>
      <w:r>
        <w:rPr>
          <w:rFonts w:hint="eastAsia" w:ascii="仿宋_GB2312" w:eastAsia="仿宋_GB2312"/>
          <w:sz w:val="32"/>
          <w:szCs w:val="32"/>
        </w:rPr>
        <w:t>群众团体</w:t>
      </w:r>
      <w:r>
        <w:rPr>
          <w:rFonts w:hint="eastAsia" w:ascii="仿宋_GB2312" w:hAnsi="仿宋_GB2312" w:eastAsia="仿宋_GB2312" w:cs="仿宋_GB2312"/>
          <w:sz w:val="32"/>
          <w:szCs w:val="32"/>
          <w:lang w:val="en-US" w:eastAsia="zh-CN"/>
        </w:rPr>
        <w:t>管理工作的项目支出。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四、社会保障和就业（类）行政事业单位养老支出（款）机关事业单位基本养老保险缴费支出（项）：</w:t>
      </w:r>
      <w:r>
        <w:rPr>
          <w:rFonts w:hint="eastAsia" w:ascii="仿宋_GB2312" w:hAnsi="仿宋_GB2312" w:eastAsia="仿宋_GB2312" w:cs="仿宋_GB2312"/>
          <w:sz w:val="32"/>
          <w:szCs w:val="32"/>
          <w:lang w:val="en-US" w:eastAsia="zh-CN"/>
        </w:rPr>
        <w:t>指部门实施养老保险制度由单位缴纳的养老保险的支出。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五、社会保障和就业（类）行政事业单位养老支出（款）其他社会保障和就业支出（项）：</w:t>
      </w:r>
      <w:r>
        <w:rPr>
          <w:rFonts w:hint="eastAsia" w:ascii="仿宋_GB2312" w:hAnsi="仿宋_GB2312" w:eastAsia="仿宋_GB2312" w:cs="仿宋_GB2312"/>
          <w:sz w:val="32"/>
          <w:szCs w:val="32"/>
          <w:lang w:val="en-US" w:eastAsia="zh-CN"/>
        </w:rPr>
        <w:t>指机关及参公管理事业单位用于单位为职工缴纳的失业、工伤等社会保险费。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六、卫生健康（类）行政事业单位医疗（款）行政单位医疗（项）：</w:t>
      </w:r>
      <w:r>
        <w:rPr>
          <w:rFonts w:hint="eastAsia" w:ascii="仿宋_GB2312" w:hAnsi="仿宋_GB2312" w:eastAsia="仿宋_GB2312" w:cs="仿宋_GB2312"/>
          <w:sz w:val="32"/>
          <w:szCs w:val="32"/>
          <w:lang w:val="en-US" w:eastAsia="zh-CN"/>
        </w:rPr>
        <w:t>指机关及参公管理事业单位用于单位应缴纳基本医疗保险支出。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七、住房保障（类）住房改革支出（款）住房公积金（项）：</w:t>
      </w:r>
      <w:r>
        <w:rPr>
          <w:rFonts w:hint="eastAsia" w:ascii="仿宋_GB2312" w:hAnsi="仿宋_GB2312" w:eastAsia="仿宋_GB2312" w:cs="仿宋_GB2312"/>
          <w:sz w:val="32"/>
          <w:szCs w:val="32"/>
          <w:lang w:val="en-US" w:eastAsia="zh-CN"/>
        </w:rPr>
        <w:t>指按照《住房公积金管理条例》的规定，由单位及其在职职工缴存的长期住房储金。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八、基本支出：</w:t>
      </w:r>
      <w:r>
        <w:rPr>
          <w:rFonts w:hint="eastAsia" w:ascii="仿宋_GB2312" w:hAnsi="仿宋_GB2312" w:eastAsia="仿宋_GB2312" w:cs="仿宋_GB2312"/>
          <w:sz w:val="32"/>
          <w:szCs w:val="32"/>
          <w:lang w:val="en-US" w:eastAsia="zh-CN"/>
        </w:rPr>
        <w:t>指为保证机构正常运转，完成日常工作任务而发生的人员支出和公用支出。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九、项目支出：</w:t>
      </w:r>
      <w:r>
        <w:rPr>
          <w:rFonts w:hint="eastAsia" w:ascii="仿宋_GB2312" w:hAnsi="仿宋_GB2312" w:eastAsia="仿宋_GB2312" w:cs="仿宋_GB2312"/>
          <w:sz w:val="32"/>
          <w:szCs w:val="32"/>
          <w:lang w:val="en-US" w:eastAsia="zh-CN"/>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sz w:val="32"/>
          <w:szCs w:val="32"/>
          <w:lang w:val="en-US" w:eastAsia="zh-CN"/>
        </w:rPr>
        <w:t>十、“三公”经费：</w:t>
      </w:r>
      <w:r>
        <w:rPr>
          <w:rFonts w:hint="eastAsia" w:ascii="仿宋_GB2312" w:hAnsi="仿宋_GB2312" w:eastAsia="仿宋_GB2312" w:cs="仿宋_GB2312"/>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十一、机关运行经费：</w:t>
      </w:r>
      <w:r>
        <w:rPr>
          <w:rFonts w:hint="eastAsia" w:ascii="仿宋_GB2312" w:hAnsi="仿宋_GB2312" w:eastAsia="仿宋_GB2312" w:cs="仿宋_GB2312"/>
          <w:sz w:val="32"/>
          <w:szCs w:val="32"/>
          <w:lang w:val="en-US" w:eastAsia="zh-CN"/>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leftChars="0" w:right="0" w:firstLine="0" w:firstLineChars="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广元市工商业联合会2025年     部门预算表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Chars="0" w:right="0" w:rightChars="0"/>
        <w:jc w:val="both"/>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sectPr>
          <w:pgSz w:w="11906" w:h="16838"/>
          <w:pgMar w:top="2098" w:right="1474" w:bottom="1984" w:left="1587" w:header="720" w:footer="1559" w:gutter="0"/>
          <w:pgNumType w:fmt="decimal"/>
          <w:cols w:space="0" w:num="1"/>
          <w:rtlGutter w:val="0"/>
          <w:docGrid w:type="lines" w:linePitch="312" w:charSpace="0"/>
        </w:sectPr>
      </w:pPr>
    </w:p>
    <w:tbl>
      <w:tblPr>
        <w:tblStyle w:val="10"/>
        <w:tblW w:w="128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04"/>
        <w:gridCol w:w="1796"/>
        <w:gridCol w:w="4604"/>
        <w:gridCol w:w="1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60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w:t>
            </w:r>
          </w:p>
        </w:tc>
        <w:tc>
          <w:tcPr>
            <w:tcW w:w="1796" w:type="dxa"/>
            <w:tcBorders>
              <w:top w:val="nil"/>
              <w:left w:val="nil"/>
              <w:bottom w:val="nil"/>
              <w:right w:val="nil"/>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p>
        </w:tc>
        <w:tc>
          <w:tcPr>
            <w:tcW w:w="4604"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p>
        </w:tc>
        <w:tc>
          <w:tcPr>
            <w:tcW w:w="179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0" w:type="auto"/>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4604" w:type="dxa"/>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7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604"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一、一般公共预算拨款收入 </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384.54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二、政府性基金预算拨款收入 </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三、国有资本经营预算拨款收入 </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四、事业收入 </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五、事业单位经营收入 </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六、其他收入 </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25.31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收 入 合 计</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384.54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 年 支 出 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384.54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七、用事业基金弥补收支差额</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三十一、事业单位结余分配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八、上年结转</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其中：转入事业基金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Hiragino Sans GB" w:hAnsi="Hiragino Sans GB" w:eastAsia="Hiragino Sans GB" w:cs="Hiragino Sans GB"/>
                <w:i w:val="0"/>
                <w:iCs w:val="0"/>
                <w:color w:val="000000"/>
                <w:sz w:val="18"/>
                <w:szCs w:val="18"/>
                <w:u w:val="none"/>
              </w:rPr>
            </w:pPr>
          </w:p>
        </w:tc>
        <w:tc>
          <w:tcPr>
            <w:tcW w:w="17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Hiragino Sans GB" w:hAnsi="Hiragino Sans GB" w:eastAsia="Hiragino Sans GB" w:cs="Hiragino Sans GB"/>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三十二、结转下年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1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384.54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384.54</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10"/>
        <w:tblW w:w="150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988"/>
        <w:gridCol w:w="82"/>
        <w:gridCol w:w="898"/>
        <w:gridCol w:w="316"/>
        <w:gridCol w:w="307"/>
        <w:gridCol w:w="481"/>
        <w:gridCol w:w="468"/>
        <w:gridCol w:w="27"/>
        <w:gridCol w:w="840"/>
        <w:gridCol w:w="1231"/>
        <w:gridCol w:w="647"/>
        <w:gridCol w:w="455"/>
        <w:gridCol w:w="427"/>
        <w:gridCol w:w="809"/>
        <w:gridCol w:w="20"/>
        <w:gridCol w:w="1129"/>
        <w:gridCol w:w="289"/>
        <w:gridCol w:w="326"/>
        <w:gridCol w:w="724"/>
        <w:gridCol w:w="11"/>
        <w:gridCol w:w="756"/>
        <w:gridCol w:w="207"/>
        <w:gridCol w:w="823"/>
        <w:gridCol w:w="726"/>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2" w:type="dxa"/>
          <w:trHeight w:val="500" w:hRule="atLeast"/>
        </w:trPr>
        <w:tc>
          <w:tcPr>
            <w:tcW w:w="1986"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附表2</w:t>
            </w:r>
          </w:p>
        </w:tc>
        <w:tc>
          <w:tcPr>
            <w:tcW w:w="1521" w:type="dxa"/>
            <w:gridSpan w:val="3"/>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976"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31"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7" w:type="dxa"/>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882" w:type="dxa"/>
            <w:gridSpan w:val="2"/>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809" w:type="dxa"/>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114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1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5" w:type="dxa"/>
            <w:gridSpan w:val="2"/>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1756"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2" w:type="dxa"/>
          <w:trHeight w:val="456" w:hRule="atLeast"/>
        </w:trPr>
        <w:tc>
          <w:tcPr>
            <w:tcW w:w="13903" w:type="dxa"/>
            <w:gridSpan w:val="25"/>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2" w:type="dxa"/>
          <w:trHeight w:val="391" w:hRule="atLeast"/>
        </w:trPr>
        <w:tc>
          <w:tcPr>
            <w:tcW w:w="3507" w:type="dxa"/>
            <w:gridSpan w:val="6"/>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76" w:type="dxa"/>
            <w:gridSpan w:val="3"/>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0"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31"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7"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82"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09"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49"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5"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5"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56" w:type="dxa"/>
            <w:gridSpan w:val="3"/>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142" w:type="dxa"/>
          <w:trHeight w:val="488" w:hRule="atLeast"/>
        </w:trPr>
        <w:tc>
          <w:tcPr>
            <w:tcW w:w="35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9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拨款收入</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预算拨款收入</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11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收入 </w:t>
            </w:r>
          </w:p>
        </w:tc>
        <w:tc>
          <w:tcPr>
            <w:tcW w:w="6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收入</w:t>
            </w:r>
          </w:p>
        </w:tc>
        <w:tc>
          <w:tcPr>
            <w:tcW w:w="17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财政专户管理资金收入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2" w:type="dxa"/>
          <w:trHeight w:val="488" w:hRule="atLeast"/>
        </w:trPr>
        <w:tc>
          <w:tcPr>
            <w:tcW w:w="19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5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9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2" w:type="dxa"/>
          <w:trHeight w:val="488" w:hRule="atLeast"/>
        </w:trPr>
        <w:tc>
          <w:tcPr>
            <w:tcW w:w="19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7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2" w:type="dxa"/>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384.54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384.54</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142" w:type="dxa"/>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313001</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广元市工商业联合会</w:t>
            </w: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384.54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384.54</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2" w:type="dxa"/>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2" w:type="dxa"/>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42" w:type="dxa"/>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142" w:type="dxa"/>
          <w:trHeight w:val="540"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884" w:type="dxa"/>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附表3</w:t>
            </w:r>
          </w:p>
        </w:tc>
        <w:tc>
          <w:tcPr>
            <w:tcW w:w="1104" w:type="dxa"/>
            <w:gridSpan w:val="3"/>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2566" w:type="dxa"/>
            <w:gridSpan w:val="4"/>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1529"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58"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13" w:type="dxa"/>
            <w:gridSpan w:val="6"/>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表1-2</w:t>
            </w:r>
          </w:p>
        </w:tc>
        <w:tc>
          <w:tcPr>
            <w:tcW w:w="82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68"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3665" w:type="dxa"/>
          <w:trHeight w:val="456" w:hRule="atLeast"/>
        </w:trPr>
        <w:tc>
          <w:tcPr>
            <w:tcW w:w="11380" w:type="dxa"/>
            <w:gridSpan w:val="20"/>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554" w:type="dxa"/>
            <w:gridSpan w:val="11"/>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29" w:type="dxa"/>
            <w:gridSpan w:val="3"/>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58" w:type="dxa"/>
            <w:gridSpan w:val="3"/>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313" w:type="dxa"/>
            <w:gridSpan w:val="6"/>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金额单位：万元</w:t>
            </w:r>
          </w:p>
        </w:tc>
        <w:tc>
          <w:tcPr>
            <w:tcW w:w="8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68" w:type="dxa"/>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2691" w:type="dxa"/>
          <w:trHeight w:val="488" w:hRule="atLeast"/>
        </w:trPr>
        <w:tc>
          <w:tcPr>
            <w:tcW w:w="655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5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31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91" w:type="dxa"/>
          <w:trHeight w:val="488" w:hRule="atLeast"/>
        </w:trPr>
        <w:tc>
          <w:tcPr>
            <w:tcW w:w="28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1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256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5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31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91" w:type="dxa"/>
          <w:trHeight w:val="488"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1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56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31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91" w:type="dxa"/>
          <w:trHeight w:val="5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384.54</w:t>
            </w: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368.97</w:t>
            </w:r>
          </w:p>
        </w:tc>
        <w:tc>
          <w:tcPr>
            <w:tcW w:w="2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2691" w:type="dxa"/>
          <w:trHeight w:val="5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313001</w:t>
            </w:r>
          </w:p>
        </w:tc>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行政运行</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294.57</w:t>
            </w: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294.57</w:t>
            </w:r>
          </w:p>
        </w:tc>
        <w:tc>
          <w:tcPr>
            <w:tcW w:w="2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91" w:type="dxa"/>
          <w:trHeight w:val="5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313001</w:t>
            </w:r>
          </w:p>
        </w:tc>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一般行政管理事务</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24.33</w:t>
            </w: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2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91" w:type="dxa"/>
          <w:trHeight w:val="5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313001</w:t>
            </w:r>
          </w:p>
        </w:tc>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30.16</w:t>
            </w: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30.16</w:t>
            </w:r>
          </w:p>
        </w:tc>
        <w:tc>
          <w:tcPr>
            <w:tcW w:w="2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91" w:type="dxa"/>
          <w:trHeight w:val="5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313001</w:t>
            </w:r>
          </w:p>
        </w:tc>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其他社会保障和就业支出</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2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3"/>
          <w:wAfter w:w="2691" w:type="dxa"/>
          <w:trHeight w:val="5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313001</w:t>
            </w:r>
          </w:p>
        </w:tc>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行政单位医疗</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2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91" w:type="dxa"/>
          <w:trHeight w:val="5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313001</w:t>
            </w:r>
          </w:p>
        </w:tc>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25.31</w:t>
            </w: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25.31</w:t>
            </w:r>
          </w:p>
        </w:tc>
        <w:tc>
          <w:tcPr>
            <w:tcW w:w="2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91" w:type="dxa"/>
          <w:trHeight w:val="5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691" w:type="dxa"/>
          <w:trHeight w:val="5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9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31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1868" w:type="dxa"/>
          <w:trHeight w:val="500" w:hRule="atLeast"/>
        </w:trPr>
        <w:tc>
          <w:tcPr>
            <w:tcW w:w="3200" w:type="dxa"/>
            <w:gridSpan w:val="5"/>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附表4</w:t>
            </w:r>
          </w:p>
        </w:tc>
        <w:tc>
          <w:tcPr>
            <w:tcW w:w="1256"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200" w:type="dxa"/>
            <w:gridSpan w:val="5"/>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256"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18"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24" w:type="dxa"/>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23"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456" w:hRule="atLeast"/>
        </w:trPr>
        <w:tc>
          <w:tcPr>
            <w:tcW w:w="13177" w:type="dxa"/>
            <w:gridSpan w:val="24"/>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391" w:hRule="atLeast"/>
        </w:trPr>
        <w:tc>
          <w:tcPr>
            <w:tcW w:w="4456" w:type="dxa"/>
            <w:gridSpan w:val="8"/>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3200" w:type="dxa"/>
            <w:gridSpan w:val="5"/>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256"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65" w:type="dxa"/>
            <w:gridSpan w:val="8"/>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445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8721"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384.54</w:t>
            </w: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384.54</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384.54</w:t>
            </w: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384.54</w:t>
            </w: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一般公共服务支出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318.90</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318.90</w:t>
            </w: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外交支出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国防支出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公共安全支出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教育支出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科学技术支出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国有资本经营预算拨款收入</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文化旅游体育与传媒支出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社会保障和就业支出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30.58</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30.58</w:t>
            </w: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社会保险基金支出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卫生健康支出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节能环保支出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农林水支出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交通运输支出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资源勘探工业信息等支出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商业服务业等支出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援助其他地区支出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自然资源海洋气象等支出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住房保障支出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25.31</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25.31</w:t>
            </w: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粮油物资储备支出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灾害防治及应急管理支出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债务付息支出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债务发行费用支出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1868" w:type="dxa"/>
          <w:trHeight w:val="600" w:hRule="atLeast"/>
        </w:trPr>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20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抗疫特别国债安排的支出</w:t>
            </w:r>
          </w:p>
        </w:tc>
        <w:tc>
          <w:tcPr>
            <w:tcW w:w="125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10"/>
        <w:tblW w:w="16493" w:type="dxa"/>
        <w:tblInd w:w="-17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49"/>
        <w:gridCol w:w="635"/>
        <w:gridCol w:w="876"/>
        <w:gridCol w:w="1100"/>
        <w:gridCol w:w="882"/>
        <w:gridCol w:w="586"/>
        <w:gridCol w:w="296"/>
        <w:gridCol w:w="882"/>
        <w:gridCol w:w="882"/>
        <w:gridCol w:w="771"/>
        <w:gridCol w:w="516"/>
        <w:gridCol w:w="524"/>
        <w:gridCol w:w="514"/>
        <w:gridCol w:w="484"/>
        <w:gridCol w:w="102"/>
        <w:gridCol w:w="433"/>
        <w:gridCol w:w="586"/>
        <w:gridCol w:w="586"/>
        <w:gridCol w:w="453"/>
        <w:gridCol w:w="463"/>
        <w:gridCol w:w="514"/>
        <w:gridCol w:w="514"/>
        <w:gridCol w:w="473"/>
        <w:gridCol w:w="514"/>
        <w:gridCol w:w="605"/>
        <w:gridCol w:w="525"/>
        <w:gridCol w:w="56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附表5</w:t>
            </w:r>
          </w:p>
        </w:tc>
        <w:tc>
          <w:tcPr>
            <w:tcW w:w="87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0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2"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82"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82"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82"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71"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52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35"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2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58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c>
          <w:tcPr>
            <w:tcW w:w="15907" w:type="dxa"/>
            <w:gridSpan w:val="2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财政拨款支出预算表（部门经济分类科目）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3246" w:type="dxa"/>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82"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2" w:type="dxa"/>
            <w:gridSpan w:val="2"/>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82" w:type="dxa"/>
            <w:tcBorders>
              <w:top w:val="single" w:color="FFFFFF" w:sz="4" w:space="0"/>
              <w:left w:val="single" w:color="FFFFFF" w:sz="4" w:space="0"/>
              <w:bottom w:val="nil"/>
              <w:right w:val="single" w:color="FFFFFF"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82"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71"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6"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2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35" w:type="dxa"/>
            <w:gridSpan w:val="2"/>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6"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86"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5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1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05"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25"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6"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2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p>
        </w:tc>
        <w:tc>
          <w:tcPr>
            <w:tcW w:w="657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市级</w:t>
            </w:r>
            <w:r>
              <w:rPr>
                <w:rFonts w:hint="eastAsia" w:ascii="宋体" w:hAnsi="宋体" w:eastAsia="宋体" w:cs="宋体"/>
                <w:b/>
                <w:bCs/>
                <w:i w:val="0"/>
                <w:iCs w:val="0"/>
                <w:color w:val="000000"/>
                <w:kern w:val="0"/>
                <w:sz w:val="22"/>
                <w:szCs w:val="22"/>
                <w:u w:val="none"/>
                <w:lang w:val="en-US" w:eastAsia="zh-CN" w:bidi="ar"/>
              </w:rPr>
              <w:t>当年财政拨款安排</w:t>
            </w:r>
          </w:p>
        </w:tc>
        <w:tc>
          <w:tcPr>
            <w:tcW w:w="52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中央提前通知专项转移支付等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15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6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16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384.54</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384.54</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384.54</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368.97</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15.57</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基本工资</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77.58</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77.58</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77.58</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77.58</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晋级工资</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0.86</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基本工资</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76.72</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76.72</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津贴补贴</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47.01</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47.01</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公务员规范津贴补贴</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45.43</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45.43</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其他津贴补贴（含工改、审计等）</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奖金</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78.04</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78.04</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78.04</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78.04</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年终一次性奖励工资</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优秀公务员奖励（参公人员）</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基础绩效奖</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58.39</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58.39</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公务员年度考核奖</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机关事业单位基本养老保险缴费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30.16</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30.16</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职工基本医疗保险缴费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其他社会保障缴费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失业保险</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工伤保险</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住房公积金</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25.31</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25.31</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000000"/>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b/>
                <w:bCs/>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商品和服务支出</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72.71</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57.14</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15.57</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办公费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11.88</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11.88</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11.88</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印刷费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邮电费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差旅费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会议费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培训费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公务接待费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工会经费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福利费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 福利费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食堂补助经费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其他交通费用</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15.17</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15.17</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15.17</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14.17</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其他商品和服务支出</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党建经费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退休人员活动经费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99</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其他商品和服务支出</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_GB2312" w:hAnsi="仿宋_GB2312" w:eastAsia="仿宋_GB2312" w:cs="仿宋_GB2312"/>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对个人和家庭的补助</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43.55</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43.55</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303</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生活补助</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43.55</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43.55</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303</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退休人员绩效补助</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42.84</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42.84</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42.84</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42.84</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303</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313001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遗属生活补助</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0.71</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0.71</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10"/>
        <w:tblW w:w="120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6"/>
        <w:gridCol w:w="1321"/>
        <w:gridCol w:w="671"/>
        <w:gridCol w:w="1100"/>
        <w:gridCol w:w="563"/>
        <w:gridCol w:w="564"/>
        <w:gridCol w:w="564"/>
        <w:gridCol w:w="564"/>
        <w:gridCol w:w="564"/>
        <w:gridCol w:w="564"/>
        <w:gridCol w:w="564"/>
        <w:gridCol w:w="658"/>
        <w:gridCol w:w="658"/>
        <w:gridCol w:w="658"/>
        <w:gridCol w:w="658"/>
        <w:gridCol w:w="840"/>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07"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附表5</w:t>
            </w:r>
          </w:p>
        </w:tc>
        <w:tc>
          <w:tcPr>
            <w:tcW w:w="671"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0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8"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6" w:type="dxa"/>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表2-1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17"/>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财政拨款支出预算表（部门经济分类科目）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gridSpan w:val="4"/>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56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6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8"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36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3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16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c>
          <w:tcPr>
            <w:tcW w:w="1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国有资本经营预算安排</w:t>
            </w: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上年应返还额度结转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注</w:t>
            </w:r>
          </w:p>
        </w:tc>
        <w:tc>
          <w:tcPr>
            <w:tcW w:w="11427"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sz w:val="22"/>
                <w:szCs w:val="22"/>
                <w:u w:val="none"/>
                <w:lang w:eastAsia="zh-CN"/>
              </w:rPr>
              <w:t>本表无数据</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10"/>
        <w:tblW w:w="135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5"/>
        <w:gridCol w:w="1817"/>
        <w:gridCol w:w="4431"/>
        <w:gridCol w:w="882"/>
        <w:gridCol w:w="2328"/>
        <w:gridCol w:w="2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33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附表6</w:t>
            </w:r>
          </w:p>
        </w:tc>
        <w:tc>
          <w:tcPr>
            <w:tcW w:w="66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p>
        </w:tc>
        <w:tc>
          <w:tcPr>
            <w:tcW w:w="1817"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431" w:type="dxa"/>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5317"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1" w:hRule="atLeast"/>
        </w:trPr>
        <w:tc>
          <w:tcPr>
            <w:tcW w:w="0" w:type="auto"/>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当年财政拨款安排</w:t>
            </w:r>
          </w:p>
        </w:tc>
        <w:tc>
          <w:tcPr>
            <w:tcW w:w="2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384.54</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行政运行</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294.57</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一般行政管理事务</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24.33</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机关事业单位基本养老保险缴费支出</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30.16</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其他社会保障和就业支出</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行政单位医疗</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4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25.31</w:t>
            </w:r>
          </w:p>
        </w:tc>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10"/>
        <w:tblW w:w="140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9"/>
        <w:gridCol w:w="665"/>
        <w:gridCol w:w="2630"/>
        <w:gridCol w:w="4426"/>
        <w:gridCol w:w="1877"/>
        <w:gridCol w:w="1877"/>
        <w:gridCol w:w="1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64"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附表7</w:t>
            </w:r>
          </w:p>
        </w:tc>
        <w:tc>
          <w:tcPr>
            <w:tcW w:w="263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2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gridSpan w:val="4"/>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7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77"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368.97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311.83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基本工资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77.58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77.58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3010101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晋级工资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0.86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0.86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3010102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基本工资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76.72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76.72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津贴补贴</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47.01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47.01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3010201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公务员规范津贴补贴</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45.43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45.43</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3010206</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其他津贴补贴（含工改、审计等）</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奖金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78.04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78.04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3010301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年终一次性奖励工资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6.39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6.39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3010302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优秀公务员奖励（参公人员）</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3010303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基础绩效奖</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58.39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58.39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301030501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公务员年度考核奖</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12.80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12.80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08</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30108</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机关事业单位基本养老保险缴费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30110</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职工基本医疗保险缴费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9.76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9.76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30112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其他社会保障缴费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3011201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失业保险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0.04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0.04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3011202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工伤保险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30113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住房公积金</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25.31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25.31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商品和服务支出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57.14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办公费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8.18</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印刷费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30205</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水费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06</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30206</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电费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07</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30207</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邮电费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6.62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30211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差旅费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30217</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公务接待费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28</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30228</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工会经费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30229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福利费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11.11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3022901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福利费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3022902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食堂补助经费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8.76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30239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其他交通费用</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14.17</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30299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其他商品和服务支出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7.50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3029901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党建经费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5.09</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3029902</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退休人员活动经费</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3029999</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其他商品和服务支出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对个人和家庭的补助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43.55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43.55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30305</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生活补助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43.55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43.55</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3030501</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退休人员绩效补助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42.84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42.84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3030504</w:t>
            </w:r>
          </w:p>
        </w:tc>
        <w:tc>
          <w:tcPr>
            <w:tcW w:w="4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   遗属生活补助</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0.71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0.71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10"/>
        <w:tblW w:w="131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716"/>
        <w:gridCol w:w="716"/>
        <w:gridCol w:w="2876"/>
        <w:gridCol w:w="5252"/>
        <w:gridCol w:w="2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432"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附表8</w:t>
            </w:r>
          </w:p>
        </w:tc>
        <w:tc>
          <w:tcPr>
            <w:tcW w:w="71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p>
        </w:tc>
        <w:tc>
          <w:tcPr>
            <w:tcW w:w="2876"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5252" w:type="dxa"/>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2876"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gridSpan w:val="6"/>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一般公共预算项目支出预算表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1" w:hRule="atLeast"/>
        </w:trPr>
        <w:tc>
          <w:tcPr>
            <w:tcW w:w="0" w:type="auto"/>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乡村振兴工作经费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党建及商协会组织建设工作经费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宣传教育调研工作经费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313001</w:t>
            </w:r>
          </w:p>
        </w:tc>
        <w:tc>
          <w:tcPr>
            <w:tcW w:w="5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经济法律社会服务工作经费</w:t>
            </w:r>
          </w:p>
        </w:tc>
        <w:tc>
          <w:tcPr>
            <w:tcW w:w="2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10"/>
        <w:tblW w:w="139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3"/>
        <w:gridCol w:w="2964"/>
        <w:gridCol w:w="1466"/>
        <w:gridCol w:w="1496"/>
        <w:gridCol w:w="1466"/>
        <w:gridCol w:w="1763"/>
        <w:gridCol w:w="17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3"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附表9</w:t>
            </w:r>
          </w:p>
        </w:tc>
        <w:tc>
          <w:tcPr>
            <w:tcW w:w="2964"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46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9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6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6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6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56"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313001</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广元市工商业联合会</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tbl>
      <w:tblPr>
        <w:tblStyle w:val="10"/>
        <w:tblW w:w="137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5"/>
        <w:gridCol w:w="1834"/>
        <w:gridCol w:w="4383"/>
        <w:gridCol w:w="1834"/>
        <w:gridCol w:w="1835"/>
        <w:gridCol w:w="1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附表10</w:t>
            </w:r>
          </w:p>
        </w:tc>
        <w:tc>
          <w:tcPr>
            <w:tcW w:w="66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p>
        </w:tc>
        <w:tc>
          <w:tcPr>
            <w:tcW w:w="1834"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383" w:type="dxa"/>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183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5"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717" w:type="dxa"/>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政府性基金预算支出预算表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212" w:type="dxa"/>
            <w:gridSpan w:val="5"/>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834"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35"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36" w:type="dxa"/>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2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5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4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注</w:t>
            </w:r>
          </w:p>
        </w:tc>
        <w:tc>
          <w:tcPr>
            <w:tcW w:w="1305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本表无数据</w:t>
            </w:r>
          </w:p>
        </w:tc>
      </w:tr>
    </w:tbl>
    <w:p>
      <w:pPr>
        <w:rPr>
          <w:rFonts w:hint="default" w:ascii="方正黑体简体" w:hAnsi="方正黑体简体" w:eastAsia="方正黑体简体" w:cs="方正黑体简体"/>
          <w:i w:val="0"/>
          <w:iCs w:val="0"/>
          <w:color w:val="000000"/>
          <w:kern w:val="0"/>
          <w:sz w:val="24"/>
          <w:szCs w:val="24"/>
          <w:u w:val="none"/>
          <w:lang w:val="en-US" w:eastAsia="zh-CN" w:bidi="ar"/>
        </w:rPr>
      </w:pPr>
      <w:r>
        <w:rPr>
          <w:rFonts w:hint="default" w:ascii="方正黑体简体" w:hAnsi="方正黑体简体" w:eastAsia="方正黑体简体" w:cs="方正黑体简体"/>
          <w:i w:val="0"/>
          <w:iCs w:val="0"/>
          <w:color w:val="000000"/>
          <w:kern w:val="0"/>
          <w:sz w:val="24"/>
          <w:szCs w:val="24"/>
          <w:u w:val="none"/>
          <w:lang w:val="en-US" w:eastAsia="zh-CN" w:bidi="ar"/>
        </w:rPr>
        <w:br w:type="page"/>
      </w:r>
    </w:p>
    <w:tbl>
      <w:tblPr>
        <w:tblStyle w:val="10"/>
        <w:tblW w:w="139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3"/>
        <w:gridCol w:w="3021"/>
        <w:gridCol w:w="1424"/>
        <w:gridCol w:w="1459"/>
        <w:gridCol w:w="1424"/>
        <w:gridCol w:w="1763"/>
        <w:gridCol w:w="17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3"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left"/>
              <w:textAlignment w:val="center"/>
              <w:rPr>
                <w:rFonts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附表11</w:t>
            </w:r>
          </w:p>
        </w:tc>
        <w:tc>
          <w:tcPr>
            <w:tcW w:w="3021" w:type="dxa"/>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42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9"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6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6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56"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政府性基金预算“三公”经费支出预算表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当年财政拨款预算安排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注</w:t>
            </w:r>
          </w:p>
        </w:tc>
        <w:tc>
          <w:tcPr>
            <w:tcW w:w="1261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本表无数据</w:t>
            </w:r>
          </w:p>
        </w:tc>
      </w:tr>
    </w:tbl>
    <w:p>
      <w:pPr>
        <w:rPr>
          <w:rFonts w:hint="default" w:ascii="方正黑体简体" w:hAnsi="方正黑体简体" w:eastAsia="方正黑体简体" w:cs="方正黑体简体"/>
          <w:i w:val="0"/>
          <w:iCs w:val="0"/>
          <w:color w:val="000000"/>
          <w:kern w:val="0"/>
          <w:sz w:val="24"/>
          <w:szCs w:val="24"/>
          <w:u w:val="none"/>
          <w:lang w:val="en-US" w:eastAsia="zh-CN" w:bidi="ar"/>
        </w:rPr>
      </w:pPr>
    </w:p>
    <w:tbl>
      <w:tblPr>
        <w:tblStyle w:val="10"/>
        <w:tblW w:w="137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256"/>
        <w:gridCol w:w="460"/>
        <w:gridCol w:w="512"/>
        <w:gridCol w:w="204"/>
        <w:gridCol w:w="468"/>
        <w:gridCol w:w="973"/>
        <w:gridCol w:w="434"/>
        <w:gridCol w:w="1031"/>
        <w:gridCol w:w="2000"/>
        <w:gridCol w:w="966"/>
        <w:gridCol w:w="984"/>
        <w:gridCol w:w="514"/>
        <w:gridCol w:w="406"/>
        <w:gridCol w:w="661"/>
        <w:gridCol w:w="1040"/>
        <w:gridCol w:w="203"/>
        <w:gridCol w:w="823"/>
        <w:gridCol w:w="1053"/>
        <w:gridCol w:w="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32"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附表12</w:t>
            </w:r>
          </w:p>
        </w:tc>
        <w:tc>
          <w:tcPr>
            <w:tcW w:w="716"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hint="default" w:ascii="方正黑体简体" w:hAnsi="方正黑体简体" w:eastAsia="方正黑体简体" w:cs="方正黑体简体"/>
                <w:i w:val="0"/>
                <w:iCs w:val="0"/>
                <w:color w:val="000000"/>
                <w:sz w:val="24"/>
                <w:szCs w:val="24"/>
                <w:u w:val="none"/>
              </w:rPr>
            </w:pPr>
          </w:p>
        </w:tc>
        <w:tc>
          <w:tcPr>
            <w:tcW w:w="1441" w:type="dxa"/>
            <w:gridSpan w:val="2"/>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431" w:type="dxa"/>
            <w:gridSpan w:val="4"/>
            <w:tcBorders>
              <w:top w:val="nil"/>
              <w:left w:val="nil"/>
              <w:bottom w:val="nil"/>
              <w:right w:val="nil"/>
            </w:tcBorders>
            <w:shd w:val="clear" w:color="auto" w:fill="auto"/>
            <w:vAlign w:val="center"/>
          </w:tcPr>
          <w:p>
            <w:pPr>
              <w:rPr>
                <w:rFonts w:hint="default" w:ascii="黑体" w:hAnsi="黑体" w:eastAsia="黑体" w:cs="黑体"/>
                <w:i w:val="0"/>
                <w:iCs w:val="0"/>
                <w:color w:val="000000"/>
                <w:sz w:val="18"/>
                <w:szCs w:val="18"/>
                <w:u w:val="none"/>
              </w:rPr>
            </w:pPr>
          </w:p>
        </w:tc>
        <w:tc>
          <w:tcPr>
            <w:tcW w:w="1904"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04"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04"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3732" w:type="dxa"/>
            <w:gridSpan w:val="20"/>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国有资本经营预算支出预算表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8020" w:type="dxa"/>
            <w:gridSpan w:val="11"/>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904" w:type="dxa"/>
            <w:gridSpan w:val="3"/>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04" w:type="dxa"/>
            <w:gridSpan w:val="3"/>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904" w:type="dxa"/>
            <w:gridSpan w:val="3"/>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0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71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21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4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443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9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9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9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4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eastAsia="zh-CN"/>
              </w:rPr>
              <w:t>注</w:t>
            </w:r>
          </w:p>
        </w:tc>
        <w:tc>
          <w:tcPr>
            <w:tcW w:w="13016"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r>
              <w:rPr>
                <w:rFonts w:hint="eastAsia" w:ascii="宋体" w:hAnsi="宋体" w:cs="宋体"/>
                <w:b/>
                <w:bCs/>
                <w:i w:val="0"/>
                <w:iCs w:val="0"/>
                <w:color w:val="000000"/>
                <w:sz w:val="22"/>
                <w:szCs w:val="22"/>
                <w:u w:val="none"/>
                <w:lang w:eastAsia="zh-CN"/>
              </w:rPr>
              <w:t>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1944" w:type="dxa"/>
            <w:gridSpan w:val="4"/>
            <w:tcBorders>
              <w:top w:val="single" w:color="FFFFFF" w:sz="4" w:space="0"/>
              <w:left w:val="single" w:color="FFFFFF" w:sz="4" w:space="0"/>
              <w:bottom w:val="single" w:color="FFFFFF"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附表13</w:t>
            </w:r>
          </w:p>
        </w:tc>
        <w:tc>
          <w:tcPr>
            <w:tcW w:w="67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0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5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1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6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2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5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384" w:hRule="atLeast"/>
        </w:trPr>
        <w:tc>
          <w:tcPr>
            <w:tcW w:w="13704" w:type="dxa"/>
            <w:gridSpan w:val="19"/>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部门预算项目支出绩效目标表（</w:t>
            </w:r>
            <w:r>
              <w:rPr>
                <w:rFonts w:hint="eastAsia" w:ascii="宋体" w:hAnsi="宋体" w:cs="宋体"/>
                <w:b/>
                <w:bCs/>
                <w:i w:val="0"/>
                <w:iCs w:val="0"/>
                <w:color w:val="000000"/>
                <w:kern w:val="0"/>
                <w:sz w:val="30"/>
                <w:szCs w:val="30"/>
                <w:u w:val="none"/>
                <w:lang w:val="en-US" w:eastAsia="zh-CN" w:bidi="ar"/>
              </w:rPr>
              <w:t>2025</w:t>
            </w:r>
            <w:r>
              <w:rPr>
                <w:rFonts w:hint="eastAsia" w:ascii="宋体" w:hAnsi="宋体" w:eastAsia="宋体" w:cs="宋体"/>
                <w:b/>
                <w:bCs/>
                <w:i w:val="0"/>
                <w:iCs w:val="0"/>
                <w:color w:val="000000"/>
                <w:kern w:val="0"/>
                <w:sz w:val="30"/>
                <w:szCs w:val="30"/>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288" w:hRule="atLeast"/>
        </w:trPr>
        <w:tc>
          <w:tcPr>
            <w:tcW w:w="4023" w:type="dxa"/>
            <w:gridSpan w:val="8"/>
            <w:tcBorders>
              <w:top w:val="single" w:color="FFFFFF" w:sz="4" w:space="0"/>
              <w:left w:val="single" w:color="FFFFFF" w:sz="4" w:space="0"/>
              <w:bottom w:val="nil"/>
              <w:right w:val="single" w:color="FFFFFF"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1" w:type="dxa"/>
            <w:tcBorders>
              <w:top w:val="single" w:color="FFFFFF" w:sz="4" w:space="0"/>
              <w:left w:val="single" w:color="FFFFFF" w:sz="4" w:space="0"/>
              <w:bottom w:val="nil"/>
              <w:right w:val="single" w:color="FFFFFF"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000" w:type="dxa"/>
            <w:tcBorders>
              <w:top w:val="single" w:color="FFFFFF" w:sz="4" w:space="0"/>
              <w:left w:val="single" w:color="FFFFFF" w:sz="4" w:space="0"/>
              <w:bottom w:val="nil"/>
              <w:right w:val="single" w:color="FFFFFF"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50" w:type="dxa"/>
            <w:gridSpan w:val="2"/>
            <w:tcBorders>
              <w:top w:val="single" w:color="FFFFFF" w:sz="4" w:space="0"/>
              <w:left w:val="single" w:color="FFFFFF" w:sz="4" w:space="0"/>
              <w:bottom w:val="nil"/>
              <w:right w:val="single" w:color="FFFFFF"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14" w:type="dxa"/>
            <w:tcBorders>
              <w:top w:val="single" w:color="FFFFFF" w:sz="4" w:space="0"/>
              <w:left w:val="single" w:color="FFFFFF" w:sz="4" w:space="0"/>
              <w:bottom w:val="nil"/>
              <w:right w:val="single" w:color="FFFFFF"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67" w:type="dxa"/>
            <w:gridSpan w:val="2"/>
            <w:tcBorders>
              <w:top w:val="single" w:color="FFFFFF" w:sz="4" w:space="0"/>
              <w:left w:val="single" w:color="FFFFFF" w:sz="4" w:space="0"/>
              <w:bottom w:val="nil"/>
              <w:right w:val="single" w:color="FFFFFF"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119" w:type="dxa"/>
            <w:gridSpan w:val="4"/>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单位名称</w:t>
            </w:r>
          </w:p>
        </w:tc>
        <w:tc>
          <w:tcPr>
            <w:tcW w:w="9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14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313001-广元市工商业联合会</w:t>
            </w: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乡村振兴工作经费</w:t>
            </w:r>
          </w:p>
        </w:tc>
        <w:tc>
          <w:tcPr>
            <w:tcW w:w="6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 </w:t>
            </w:r>
          </w:p>
        </w:tc>
        <w:tc>
          <w:tcPr>
            <w:tcW w:w="14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1.扎实开展驻村帮扶工作；2.机关干部到村开展帮扶活动1次以上；3.确保帮扶村无因病因灾返贫情况发生。</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选派驻村工作队员数量</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驻村工作完成率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驻村工作时间</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成本指标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驻村帮扶人员保障经费</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帮扶村产业有发展</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被帮扶村满意度</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313001-广元市工商业联合会</w:t>
            </w: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党建及商协会组织建设工作经费</w:t>
            </w:r>
          </w:p>
        </w:tc>
        <w:tc>
          <w:tcPr>
            <w:tcW w:w="6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14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1.2025年，市工商联组织召开全市商会建设培训会，组织商会间互学互促，筹建吸纳市内商会组织，发展会市直属会员10个以上， 创建省以上“四好”商会2个。2.市工商联2025年拟 创建省以上“四好”商会2个。3.组织会员开展考察交流学习等活动3次以上，提升民营经济人士素质。</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发展会员数量</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创建省以上“四好”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商会个数</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开展考察交流学习活动次数</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民营经济人士素质提升培训合格率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发展会员、创建“四好”商会、开展考察交流活动完成时间</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每创建一个省以上“四好”商会平均投入成本费用</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元/个</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每发展一个会员工作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成本费用</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元/个</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每开展一次交流学习能力提升活动工作经费成本费用</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万元/场</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提升民营经济人士素质</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民营经济人士满意度</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313001-广元市工商业联合会</w:t>
            </w: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宣传教育调研工作经费</w:t>
            </w:r>
          </w:p>
        </w:tc>
        <w:tc>
          <w:tcPr>
            <w:tcW w:w="6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14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主要用于2025年度市工商联宣传教育、调查研究、参政议政等相关工作。按照分类调研、分类谋划、分类施策、分类推进的原则，丰富宣教工作载体、创新调查研究形式、提高建言献策水平，更好地服务“两个健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康”。</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开展理想信念教育活动次数</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开展培训次数</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调研次数</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调研成果转换率</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开展宣传调研、参政议政培训、理想信念活动完成时间</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开展理想信念教育活动工作经费</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万元/场</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开展培训工作经费</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万元/场</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开展调研工作经费</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万元/场</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引导民营经济人士自觉履行社会责任</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可持续发展指标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引导民营经济人士争做四个“典范”</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民营经济人士满意度</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313001-广元市工商业联合会</w:t>
            </w:r>
          </w:p>
        </w:tc>
        <w:tc>
          <w:tcPr>
            <w:tcW w:w="9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经济法律社会服务工作经费</w:t>
            </w:r>
          </w:p>
        </w:tc>
        <w:tc>
          <w:tcPr>
            <w:tcW w:w="6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5.75 </w:t>
            </w:r>
          </w:p>
        </w:tc>
        <w:tc>
          <w:tcPr>
            <w:tcW w:w="14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组织开展经贸活动1次以上；2.组织开展企业家考察交流活动1次以上；3.开展法律培训活动1场以上；4.全面完成招商引资、向上争取资金任务。5.召开专题会议1次以上推进“万企兴万村”行动；6.深入乡村开展“万企兴万村”工作调研。加强典型宣传，营造良好氛围；7.民营企业与村结对有新增长，民营企业在乡村建设中投资有新增长。</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开展法律培训活动次数</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开展“万企兴万村”行动推进会议次数</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经贸考察交流活动次数</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促进我市项目投资、产业协作经济活力等进一步提高</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时效指标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开展经贸考察交流及“万企兴万村”等活动完成时间</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开展外出经贸考察、招商引资活动工作经费</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开展“万企兴万村行动”及托底性帮扶工作经费</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经济成本指标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开展法律培训活动费</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17500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效益指标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不断促进民营企业健康成长</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级</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 w:type="dxa"/>
          <w:trHeight w:val="500" w:hRule="atLeast"/>
        </w:trPr>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民营经济人士满意度</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10"/>
        <w:tblW w:w="82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9"/>
        <w:gridCol w:w="1107"/>
        <w:gridCol w:w="1256"/>
        <w:gridCol w:w="1040"/>
        <w:gridCol w:w="1040"/>
        <w:gridCol w:w="1040"/>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69" w:type="dxa"/>
            <w:tcBorders>
              <w:top w:val="single" w:color="FFFFFF" w:sz="4" w:space="0"/>
              <w:left w:val="single" w:color="FFFFFF" w:sz="4" w:space="0"/>
              <w:bottom w:val="single" w:color="FFFFFF"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default" w:ascii="方正黑体简体" w:hAnsi="方正黑体简体" w:eastAsia="方正黑体简体" w:cs="方正黑体简体"/>
                <w:i w:val="0"/>
                <w:iCs w:val="0"/>
                <w:color w:val="000000"/>
                <w:kern w:val="0"/>
                <w:sz w:val="24"/>
                <w:szCs w:val="24"/>
                <w:u w:val="none"/>
                <w:lang w:val="en-US" w:eastAsia="zh-CN" w:bidi="ar"/>
              </w:rPr>
              <w:t>附表14</w:t>
            </w:r>
          </w:p>
        </w:tc>
        <w:tc>
          <w:tcPr>
            <w:tcW w:w="1107"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highlight w:val="yellow"/>
                <w:u w:val="none"/>
                <w:lang w:eastAsia="zh-CN"/>
              </w:rPr>
            </w:pPr>
          </w:p>
        </w:tc>
        <w:tc>
          <w:tcPr>
            <w:tcW w:w="1256"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highlight w:val="yellow"/>
                <w:u w:val="none"/>
              </w:rPr>
            </w:pPr>
          </w:p>
        </w:tc>
        <w:tc>
          <w:tcPr>
            <w:tcW w:w="10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4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suppressLineNumbers w:val="0"/>
        <w:kinsoku/>
        <w:wordWrap w:val="0"/>
        <w:overflowPunct w:val="0"/>
        <w:topLinePunct w:val="0"/>
        <w:autoSpaceDE/>
        <w:autoSpaceDN/>
        <w:bidi w:val="0"/>
        <w:adjustRightInd w:val="0"/>
        <w:snapToGrid w:val="0"/>
        <w:spacing w:after="157" w:afterLines="50" w:line="240" w:lineRule="auto"/>
        <w:jc w:val="center"/>
        <w:textAlignment w:val="bottom"/>
        <w:rPr>
          <w:rFonts w:hint="eastAsia" w:ascii="宋体" w:hAnsi="宋体" w:eastAsia="宋体" w:cs="宋体"/>
          <w:b/>
          <w:bCs/>
          <w:i w:val="0"/>
          <w:iCs w:val="0"/>
          <w:color w:val="000000"/>
          <w:sz w:val="20"/>
          <w:szCs w:val="20"/>
          <w:highlight w:val="red"/>
          <w:u w:val="none"/>
        </w:rPr>
      </w:pPr>
      <w:r>
        <w:rPr>
          <w:rStyle w:val="11"/>
          <w:rFonts w:hint="eastAsia" w:ascii="方正小标宋简体" w:hAnsi="方正小标宋简体" w:eastAsia="方正小标宋简体" w:cs="方正小标宋简体"/>
          <w:sz w:val="36"/>
          <w:szCs w:val="36"/>
          <w:highlight w:val="none"/>
          <w:lang w:val="en-US" w:eastAsia="zh-CN"/>
        </w:rPr>
        <w:t>2025年度部门整体绩效目标</w:t>
      </w:r>
    </w:p>
    <w:tbl>
      <w:tblPr>
        <w:tblStyle w:val="10"/>
        <w:tblW w:w="9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5"/>
        <w:gridCol w:w="794"/>
        <w:gridCol w:w="368"/>
        <w:gridCol w:w="1048"/>
        <w:gridCol w:w="1749"/>
        <w:gridCol w:w="984"/>
        <w:gridCol w:w="357"/>
        <w:gridCol w:w="89"/>
        <w:gridCol w:w="475"/>
        <w:gridCol w:w="504"/>
        <w:gridCol w:w="129"/>
        <w:gridCol w:w="367"/>
        <w:gridCol w:w="324"/>
        <w:gridCol w:w="12"/>
        <w:gridCol w:w="886"/>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1369" w:type="dxa"/>
            <w:gridSpan w:val="2"/>
            <w:tcBorders>
              <w:top w:val="nil"/>
              <w:left w:val="nil"/>
              <w:bottom w:val="nil"/>
              <w:right w:val="nil"/>
            </w:tcBorders>
            <w:noWrap w:val="0"/>
            <w:vAlign w:val="bottom"/>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5070" w:type="dxa"/>
            <w:gridSpan w:val="7"/>
            <w:tcBorders>
              <w:top w:val="nil"/>
              <w:left w:val="nil"/>
              <w:bottom w:val="nil"/>
              <w:right w:val="nil"/>
            </w:tcBorders>
            <w:shd w:val="clear" w:color="auto" w:fill="auto"/>
            <w:noWrap w:val="0"/>
            <w:vAlign w:val="bottom"/>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bottom"/>
              <w:outlineLvl w:val="0"/>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广元市工商业联合会</w:t>
            </w:r>
          </w:p>
        </w:tc>
        <w:tc>
          <w:tcPr>
            <w:tcW w:w="633" w:type="dxa"/>
            <w:gridSpan w:val="2"/>
            <w:tcBorders>
              <w:top w:val="nil"/>
              <w:left w:val="nil"/>
              <w:bottom w:val="nil"/>
              <w:right w:val="nil"/>
            </w:tcBorders>
            <w:noWrap w:val="0"/>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rPr>
                <w:rFonts w:hint="eastAsia" w:ascii="宋体" w:hAnsi="宋体" w:eastAsia="宋体" w:cs="宋体"/>
                <w:i w:val="0"/>
                <w:iCs w:val="0"/>
                <w:color w:val="000000"/>
                <w:sz w:val="20"/>
                <w:szCs w:val="20"/>
                <w:u w:val="none"/>
              </w:rPr>
            </w:pPr>
          </w:p>
        </w:tc>
        <w:tc>
          <w:tcPr>
            <w:tcW w:w="691" w:type="dxa"/>
            <w:gridSpan w:val="2"/>
            <w:tcBorders>
              <w:top w:val="nil"/>
              <w:left w:val="nil"/>
              <w:bottom w:val="nil"/>
              <w:right w:val="nil"/>
            </w:tcBorders>
            <w:noWrap w:val="0"/>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rPr>
                <w:rFonts w:hint="eastAsia" w:ascii="宋体" w:hAnsi="宋体" w:eastAsia="宋体" w:cs="宋体"/>
                <w:i w:val="0"/>
                <w:iCs w:val="0"/>
                <w:color w:val="000000"/>
                <w:sz w:val="20"/>
                <w:szCs w:val="20"/>
                <w:u w:val="none"/>
              </w:rPr>
            </w:pPr>
          </w:p>
        </w:tc>
        <w:tc>
          <w:tcPr>
            <w:tcW w:w="2174" w:type="dxa"/>
            <w:gridSpan w:val="3"/>
            <w:tcBorders>
              <w:top w:val="nil"/>
              <w:left w:val="nil"/>
              <w:bottom w:val="nil"/>
              <w:right w:val="nil"/>
            </w:tcBorders>
            <w:noWrap w:val="0"/>
            <w:vAlign w:val="bottom"/>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27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年度部门整体预算</w:t>
            </w:r>
          </w:p>
        </w:tc>
        <w:tc>
          <w:tcPr>
            <w:tcW w:w="2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资金总额</w:t>
            </w:r>
          </w:p>
        </w:tc>
        <w:tc>
          <w:tcPr>
            <w:tcW w:w="192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财政拨款</w:t>
            </w:r>
          </w:p>
        </w:tc>
        <w:tc>
          <w:tcPr>
            <w:tcW w:w="24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27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收入预算</w:t>
            </w:r>
          </w:p>
        </w:tc>
        <w:tc>
          <w:tcPr>
            <w:tcW w:w="2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384.54</w:t>
            </w:r>
          </w:p>
        </w:tc>
        <w:tc>
          <w:tcPr>
            <w:tcW w:w="192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384.54</w:t>
            </w:r>
          </w:p>
        </w:tc>
        <w:tc>
          <w:tcPr>
            <w:tcW w:w="24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4" w:hRule="exact"/>
          <w:jc w:val="center"/>
        </w:trPr>
        <w:tc>
          <w:tcPr>
            <w:tcW w:w="27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支出预算</w:t>
            </w:r>
          </w:p>
        </w:tc>
        <w:tc>
          <w:tcPr>
            <w:tcW w:w="27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384.54</w:t>
            </w:r>
          </w:p>
        </w:tc>
        <w:tc>
          <w:tcPr>
            <w:tcW w:w="192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384.54</w:t>
            </w:r>
          </w:p>
        </w:tc>
        <w:tc>
          <w:tcPr>
            <w:tcW w:w="249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jc w:val="center"/>
        </w:trPr>
        <w:tc>
          <w:tcPr>
            <w:tcW w:w="27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152"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suppressLineNumbers w:val="0"/>
              <w:kinsoku/>
              <w:wordWrap w:val="0"/>
              <w:overflowPunct w:val="0"/>
              <w:topLinePunct w:val="0"/>
              <w:autoSpaceDE/>
              <w:autoSpaceDN/>
              <w:bidi w:val="0"/>
              <w:adjustRightInd w:val="0"/>
              <w:snapToGrid w:val="0"/>
              <w:spacing w:line="320" w:lineRule="exact"/>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（一）</w:t>
            </w:r>
            <w:r>
              <w:rPr>
                <w:rFonts w:hint="eastAsia" w:ascii="宋体" w:hAnsi="宋体" w:eastAsia="宋体" w:cs="宋体"/>
                <w:i w:val="0"/>
                <w:iCs w:val="0"/>
                <w:color w:val="000000"/>
                <w:kern w:val="0"/>
                <w:sz w:val="20"/>
                <w:szCs w:val="20"/>
                <w:u w:val="none"/>
                <w:lang w:val="en-US" w:eastAsia="zh-CN" w:bidi="ar"/>
              </w:rPr>
              <w:t>深化理想信念，增进政治共识。深入学习贯彻习近平新时代中国特色社会主义思想，加强理论宣讲，强化政治引领。开展理想信念教育活动，促进民营经济人士健康成长。争创全省民营经济人士理想信念教育基地。积极选树民营经济先进典型，弘扬优秀企业家精神，引导民营经济人士深入实施“1345”发展战略。</w:t>
            </w:r>
          </w:p>
          <w:p>
            <w:pPr>
              <w:keepNext w:val="0"/>
              <w:keepLines w:val="0"/>
              <w:pageBreakBefore w:val="0"/>
              <w:widowControl w:val="0"/>
              <w:numPr>
                <w:ilvl w:val="0"/>
                <w:numId w:val="0"/>
              </w:numPr>
              <w:suppressLineNumbers w:val="0"/>
              <w:kinsoku/>
              <w:wordWrap w:val="0"/>
              <w:overflowPunct w:val="0"/>
              <w:topLinePunct w:val="0"/>
              <w:autoSpaceDE/>
              <w:autoSpaceDN/>
              <w:bidi w:val="0"/>
              <w:adjustRightInd w:val="0"/>
              <w:snapToGrid w:val="0"/>
              <w:spacing w:line="320" w:lineRule="exact"/>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坚持凝心聚力，服务中心大局。围绕“1+3+3”工业体系，切实发挥民营经济人士在工业突破性发展中的主力军作用，组织开展“杭州民营企业广元行”活动。组织动员更多社会力量积极参与“万企兴万村”行动，进一步做优社会服务。</w:t>
            </w:r>
          </w:p>
          <w:p>
            <w:pPr>
              <w:keepNext w:val="0"/>
              <w:keepLines w:val="0"/>
              <w:pageBreakBefore w:val="0"/>
              <w:widowControl w:val="0"/>
              <w:numPr>
                <w:ilvl w:val="0"/>
                <w:numId w:val="0"/>
              </w:numPr>
              <w:suppressLineNumbers w:val="0"/>
              <w:kinsoku/>
              <w:wordWrap w:val="0"/>
              <w:overflowPunct w:val="0"/>
              <w:topLinePunct w:val="0"/>
              <w:autoSpaceDE/>
              <w:autoSpaceDN/>
              <w:bidi w:val="0"/>
              <w:adjustRightInd w:val="0"/>
              <w:snapToGrid w:val="0"/>
              <w:spacing w:line="320" w:lineRule="exact"/>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（三）坚持靠前服务，服务民营经济。组织好市委统战部长与民营企业面对面活动，推动企业问题解决。深化政企沟通，助推营商环境优化。深入推进涉案企业合规管理。</w:t>
            </w:r>
          </w:p>
          <w:p>
            <w:pPr>
              <w:keepNext w:val="0"/>
              <w:keepLines w:val="0"/>
              <w:pageBreakBefore w:val="0"/>
              <w:widowControl w:val="0"/>
              <w:numPr>
                <w:ilvl w:val="0"/>
                <w:numId w:val="0"/>
              </w:numPr>
              <w:suppressLineNumbers w:val="0"/>
              <w:kinsoku/>
              <w:wordWrap w:val="0"/>
              <w:overflowPunct w:val="0"/>
              <w:topLinePunct w:val="0"/>
              <w:autoSpaceDE/>
              <w:autoSpaceDN/>
              <w:bidi w:val="0"/>
              <w:adjustRightInd w:val="0"/>
              <w:snapToGrid w:val="0"/>
              <w:spacing w:line="320" w:lineRule="exact"/>
              <w:ind w:firstLine="400"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（四）深入调查研究，积极参政议政。做优决策服务，开展走访调研活动。围绕民营经济高质量发展，及时提出意见建议，积极建言，形成高质量调研成果。</w:t>
            </w:r>
          </w:p>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ind w:firstLine="400"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（五）加强组织建设，夯实工作基础。积极发展会员、筹建商协会。推进基层组织建设。积极创建“五好”县级工商联和“四好”商会。加强企业家队伍建设，开展企业家提能培训。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9937"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管理效率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6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0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4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06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指标参考值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16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04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7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34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val="0"/>
              <w:topLinePunct w:val="0"/>
              <w:autoSpaceDE/>
              <w:autoSpaceDN/>
              <w:bidi w:val="0"/>
              <w:adjustRightInd w:val="0"/>
              <w:snapToGrid w:val="0"/>
              <w:spacing w:line="240" w:lineRule="auto"/>
              <w:jc w:val="center"/>
              <w:rPr>
                <w:rFonts w:hint="eastAsia" w:ascii="宋体" w:hAnsi="宋体" w:eastAsia="宋体" w:cs="宋体"/>
                <w:b/>
                <w:bCs/>
                <w:i w:val="0"/>
                <w:iCs w:val="0"/>
                <w:color w:val="000000"/>
                <w:sz w:val="20"/>
                <w:szCs w:val="20"/>
                <w:u w:val="none"/>
              </w:rPr>
            </w:pPr>
          </w:p>
        </w:tc>
        <w:tc>
          <w:tcPr>
            <w:tcW w:w="10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三年均值</w:t>
            </w:r>
          </w:p>
        </w:tc>
        <w:tc>
          <w:tcPr>
            <w:tcW w:w="83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成本指标</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预算管理</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财政拨款预算偏离度</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5.97%</w:t>
            </w:r>
          </w:p>
        </w:tc>
        <w:tc>
          <w:tcPr>
            <w:tcW w:w="10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5.97%</w:t>
            </w:r>
          </w:p>
        </w:tc>
        <w:tc>
          <w:tcPr>
            <w:tcW w:w="83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0.79%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1.72%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15.39%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2</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成本指标</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预算管理</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预算年终结余率</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5.85%</w:t>
            </w:r>
          </w:p>
        </w:tc>
        <w:tc>
          <w:tcPr>
            <w:tcW w:w="10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5.85%</w:t>
            </w:r>
          </w:p>
        </w:tc>
        <w:tc>
          <w:tcPr>
            <w:tcW w:w="83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9.23%</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3.52%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3</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成本指标</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预算管理</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一般性支出金额</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5.4万元</w:t>
            </w:r>
          </w:p>
        </w:tc>
        <w:tc>
          <w:tcPr>
            <w:tcW w:w="10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83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5.42万元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4"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4</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成本指标</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财务管理</w:t>
            </w:r>
          </w:p>
        </w:tc>
        <w:tc>
          <w:tcPr>
            <w:tcW w:w="1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财务管理规范</w:t>
            </w:r>
          </w:p>
        </w:tc>
        <w:tc>
          <w:tcPr>
            <w:tcW w:w="13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优</w:t>
            </w:r>
          </w:p>
        </w:tc>
        <w:tc>
          <w:tcPr>
            <w:tcW w:w="10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83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jc w:val="center"/>
        </w:trPr>
        <w:tc>
          <w:tcPr>
            <w:tcW w:w="9937"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履职效能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317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97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指标值（包括数字及文字描述）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17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各项业务活动任务完成时间</w:t>
            </w:r>
          </w:p>
        </w:tc>
        <w:tc>
          <w:tcPr>
            <w:tcW w:w="397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17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组织企业开展经贸考察交流学习活动次数</w:t>
            </w:r>
          </w:p>
        </w:tc>
        <w:tc>
          <w:tcPr>
            <w:tcW w:w="397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17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深入基层了解民营经济发展情况，开展调研次数</w:t>
            </w:r>
          </w:p>
        </w:tc>
        <w:tc>
          <w:tcPr>
            <w:tcW w:w="397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17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加强民营经济人士政治引领，开展理想信念教育活动次数</w:t>
            </w:r>
          </w:p>
        </w:tc>
        <w:tc>
          <w:tcPr>
            <w:tcW w:w="397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17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举办常委会、执委会等工商联业务性会议次数</w:t>
            </w:r>
          </w:p>
        </w:tc>
        <w:tc>
          <w:tcPr>
            <w:tcW w:w="397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17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民营经济人士素质培训合格率</w:t>
            </w:r>
          </w:p>
        </w:tc>
        <w:tc>
          <w:tcPr>
            <w:tcW w:w="397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17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调研有成果，会员有增加，民营经济有增长</w:t>
            </w:r>
          </w:p>
        </w:tc>
        <w:tc>
          <w:tcPr>
            <w:tcW w:w="397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17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促进民营经济人士健康成长</w:t>
            </w:r>
          </w:p>
        </w:tc>
        <w:tc>
          <w:tcPr>
            <w:tcW w:w="397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17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引导民营企业自觉做“四个”</w:t>
            </w:r>
          </w:p>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典范</w:t>
            </w:r>
          </w:p>
        </w:tc>
        <w:tc>
          <w:tcPr>
            <w:tcW w:w="397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6" w:hRule="exact"/>
          <w:jc w:val="center"/>
        </w:trPr>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17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促进民营经济健康发展</w:t>
            </w:r>
          </w:p>
        </w:tc>
        <w:tc>
          <w:tcPr>
            <w:tcW w:w="397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val="0"/>
              <w:overflowPunct w:val="0"/>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bookmarkEnd w:id="0"/>
    <w:sectPr>
      <w:pgSz w:w="16838" w:h="11906" w:orient="landscape"/>
      <w:pgMar w:top="1587" w:right="2098" w:bottom="1474" w:left="1984" w:header="720" w:footer="155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Liberation Sans">
    <w:altName w:val="Arial"/>
    <w:panose1 w:val="020B0604020202020204"/>
    <w:charset w:val="00"/>
    <w:family w:val="swiss"/>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方正黑体简体">
    <w:altName w:val="方正小标宋简体"/>
    <w:panose1 w:val="03000509000000000000"/>
    <w:charset w:val="86"/>
    <w:family w:val="auto"/>
    <w:pitch w:val="default"/>
    <w:sig w:usb0="00000000" w:usb1="00000000" w:usb2="00000000" w:usb3="00000000" w:csb0="00040000" w:csb1="00000000"/>
  </w:font>
  <w:font w:name="Hiragino Sans GB">
    <w:altName w:val="Mangal"/>
    <w:panose1 w:val="00000000000000000000"/>
    <w:charset w:val="00"/>
    <w:family w:val="auto"/>
    <w:pitch w:val="default"/>
    <w:sig w:usb0="00000000" w:usb1="00000000" w:usb2="00000000" w:usb3="00000000" w:csb0="00000000" w:csb1="00000000"/>
  </w:font>
  <w:font w:name="Dialog . plain">
    <w:altName w:val="Mangal"/>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Mangal">
    <w:panose1 w:val="00000400000000000000"/>
    <w:charset w:val="00"/>
    <w:family w:val="auto"/>
    <w:pitch w:val="default"/>
    <w:sig w:usb0="00008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E09C1"/>
    <w:multiLevelType w:val="singleLevel"/>
    <w:tmpl w:val="D5BE09C1"/>
    <w:lvl w:ilvl="0" w:tentative="0">
      <w:start w:val="1"/>
      <w:numFmt w:val="chineseCounting"/>
      <w:suff w:val="space"/>
      <w:lvlText w:val="第%1部分"/>
      <w:lvlJc w:val="left"/>
      <w:pPr>
        <w:ind w:left="1470"/>
      </w:pPr>
      <w:rPr>
        <w:rFonts w:hint="eastAsia" w:ascii="方正小标宋简体" w:hAnsi="方正小标宋简体" w:eastAsia="方正小标宋简体" w:cs="方正小标宋简体"/>
        <w:sz w:val="44"/>
        <w:szCs w:val="44"/>
      </w:rPr>
    </w:lvl>
  </w:abstractNum>
  <w:abstractNum w:abstractNumId="1">
    <w:nsid w:val="E7E5F7A5"/>
    <w:multiLevelType w:val="singleLevel"/>
    <w:tmpl w:val="E7E5F7A5"/>
    <w:lvl w:ilvl="0" w:tentative="0">
      <w:start w:val="2"/>
      <w:numFmt w:val="chineseCounting"/>
      <w:suff w:val="nothing"/>
      <w:lvlText w:val="（%1）"/>
      <w:lvlJc w:val="left"/>
      <w:rPr>
        <w:rFonts w:hint="eastAsia"/>
      </w:rPr>
    </w:lvl>
  </w:abstractNum>
  <w:abstractNum w:abstractNumId="2">
    <w:nsid w:val="EFCCA986"/>
    <w:multiLevelType w:val="singleLevel"/>
    <w:tmpl w:val="EFCCA986"/>
    <w:lvl w:ilvl="0" w:tentative="0">
      <w:start w:val="1"/>
      <w:numFmt w:val="chineseCounting"/>
      <w:suff w:val="space"/>
      <w:lvlText w:val="第%1部分"/>
      <w:lvlJc w:val="left"/>
      <w:rPr>
        <w:rFonts w:hint="eastAsia" w:ascii="方正小标宋简体" w:hAnsi="方正小标宋简体" w:eastAsia="方正小标宋简体" w:cs="方正小标宋简体"/>
        <w:sz w:val="44"/>
        <w:szCs w:val="44"/>
      </w:rPr>
    </w:lvl>
  </w:abstractNum>
  <w:abstractNum w:abstractNumId="3">
    <w:nsid w:val="FBB4C73A"/>
    <w:multiLevelType w:val="singleLevel"/>
    <w:tmpl w:val="FBB4C73A"/>
    <w:lvl w:ilvl="0" w:tentative="0">
      <w:start w:val="1"/>
      <w:numFmt w:val="chineseCounting"/>
      <w:suff w:val="nothing"/>
      <w:lvlText w:val="%1、"/>
      <w:lvlJc w:val="left"/>
      <w:rPr>
        <w:rFonts w:hint="eastAsia"/>
      </w:rPr>
    </w:lvl>
  </w:abstractNum>
  <w:abstractNum w:abstractNumId="4">
    <w:nsid w:val="3FFF1F26"/>
    <w:multiLevelType w:val="singleLevel"/>
    <w:tmpl w:val="3FFF1F26"/>
    <w:lvl w:ilvl="0" w:tentative="0">
      <w:start w:val="1"/>
      <w:numFmt w:val="chineseCounting"/>
      <w:suff w:val="nothing"/>
      <w:lvlText w:val="%1、"/>
      <w:lvlJc w:val="left"/>
      <w:pPr>
        <w:ind w:left="160" w:leftChars="0" w:firstLine="0" w:firstLineChars="0"/>
      </w:pPr>
      <w:rPr>
        <w:rFonts w:hint="eastAsia"/>
      </w:rPr>
    </w:lvl>
  </w:abstractNum>
  <w:abstractNum w:abstractNumId="5">
    <w:nsid w:val="5BFCE1D6"/>
    <w:multiLevelType w:val="singleLevel"/>
    <w:tmpl w:val="5BFCE1D6"/>
    <w:lvl w:ilvl="0" w:tentative="0">
      <w:start w:val="2"/>
      <w:numFmt w:val="chineseCounting"/>
      <w:suff w:val="nothing"/>
      <w:lvlText w:val="（%1）"/>
      <w:lvlJc w:val="left"/>
      <w:rPr>
        <w:rFonts w:hint="eastAsia"/>
      </w:rPr>
    </w:lvl>
  </w:abstractNum>
  <w:abstractNum w:abstractNumId="6">
    <w:nsid w:val="5ECE03BF"/>
    <w:multiLevelType w:val="singleLevel"/>
    <w:tmpl w:val="5ECE03BF"/>
    <w:lvl w:ilvl="0" w:tentative="0">
      <w:start w:val="1"/>
      <w:numFmt w:val="chineseCounting"/>
      <w:suff w:val="space"/>
      <w:lvlText w:val="第%1部分"/>
      <w:lvlJc w:val="left"/>
      <w:rPr>
        <w:rFonts w:hint="eastAsia"/>
      </w:r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3189"/>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Tc1YWUzNDk5OThmNzcwNDRiNmRkMjhiZTRiMmMifQ=="/>
  </w:docVars>
  <w:rsids>
    <w:rsidRoot w:val="00000000"/>
    <w:rsid w:val="012352D1"/>
    <w:rsid w:val="067102F0"/>
    <w:rsid w:val="16536149"/>
    <w:rsid w:val="18ED32B7"/>
    <w:rsid w:val="198E02B8"/>
    <w:rsid w:val="1D9F113A"/>
    <w:rsid w:val="1E42247E"/>
    <w:rsid w:val="1F7BF06F"/>
    <w:rsid w:val="1FEE4B73"/>
    <w:rsid w:val="23CE9849"/>
    <w:rsid w:val="28B060D2"/>
    <w:rsid w:val="300527AA"/>
    <w:rsid w:val="372799D5"/>
    <w:rsid w:val="39F304DD"/>
    <w:rsid w:val="3A40219C"/>
    <w:rsid w:val="3FFEA2A5"/>
    <w:rsid w:val="43DA4174"/>
    <w:rsid w:val="46CFEED0"/>
    <w:rsid w:val="4F8627FB"/>
    <w:rsid w:val="54244390"/>
    <w:rsid w:val="54662A63"/>
    <w:rsid w:val="55EB6693"/>
    <w:rsid w:val="58064E12"/>
    <w:rsid w:val="5BFEE015"/>
    <w:rsid w:val="5DFD075F"/>
    <w:rsid w:val="5FF679D4"/>
    <w:rsid w:val="60AC5E39"/>
    <w:rsid w:val="63EDCF55"/>
    <w:rsid w:val="63FBFBCF"/>
    <w:rsid w:val="669360FD"/>
    <w:rsid w:val="68FF6A83"/>
    <w:rsid w:val="6ABEA752"/>
    <w:rsid w:val="6AEF6005"/>
    <w:rsid w:val="6E3DB48E"/>
    <w:rsid w:val="6FA91F92"/>
    <w:rsid w:val="6FBBC9CF"/>
    <w:rsid w:val="72BDE561"/>
    <w:rsid w:val="75C25A87"/>
    <w:rsid w:val="76FF9330"/>
    <w:rsid w:val="78462278"/>
    <w:rsid w:val="7997EA6C"/>
    <w:rsid w:val="7AEAE675"/>
    <w:rsid w:val="7BAFCE5D"/>
    <w:rsid w:val="7D46598C"/>
    <w:rsid w:val="7D9F8F0F"/>
    <w:rsid w:val="7DEF30D5"/>
    <w:rsid w:val="7DFB240B"/>
    <w:rsid w:val="7DFE05E7"/>
    <w:rsid w:val="7E0935ED"/>
    <w:rsid w:val="7ED7A56A"/>
    <w:rsid w:val="7F471747"/>
    <w:rsid w:val="7FCF2AF7"/>
    <w:rsid w:val="9FEF033D"/>
    <w:rsid w:val="A27FF1E5"/>
    <w:rsid w:val="A9CFD93D"/>
    <w:rsid w:val="ABFEA5DB"/>
    <w:rsid w:val="AF3FEDDD"/>
    <w:rsid w:val="AFDEB5A7"/>
    <w:rsid w:val="AFEA7FBF"/>
    <w:rsid w:val="B4CBB10F"/>
    <w:rsid w:val="B83F4767"/>
    <w:rsid w:val="BF930F07"/>
    <w:rsid w:val="BFCE8436"/>
    <w:rsid w:val="C3F7EB7A"/>
    <w:rsid w:val="CFBD8222"/>
    <w:rsid w:val="CFF5FEEC"/>
    <w:rsid w:val="D3DD9064"/>
    <w:rsid w:val="D6F76A0C"/>
    <w:rsid w:val="D7ECE8D2"/>
    <w:rsid w:val="DD2BC8C0"/>
    <w:rsid w:val="DFDD4FB5"/>
    <w:rsid w:val="E3FC5BBD"/>
    <w:rsid w:val="E7F748B5"/>
    <w:rsid w:val="EE5F3713"/>
    <w:rsid w:val="EFC9D62C"/>
    <w:rsid w:val="F61F91D3"/>
    <w:rsid w:val="F6BE9755"/>
    <w:rsid w:val="F6FFA89B"/>
    <w:rsid w:val="F7FFA4EB"/>
    <w:rsid w:val="F88D0DC7"/>
    <w:rsid w:val="FAE4EFE1"/>
    <w:rsid w:val="FB9B6F12"/>
    <w:rsid w:val="FBB66A4A"/>
    <w:rsid w:val="FBF7C4DC"/>
    <w:rsid w:val="FDEE6989"/>
    <w:rsid w:val="FE3FE3D1"/>
    <w:rsid w:val="FEFF0922"/>
    <w:rsid w:val="FF5E7DB8"/>
    <w:rsid w:val="FF77E367"/>
    <w:rsid w:val="FFD576EB"/>
    <w:rsid w:val="FFDB1578"/>
    <w:rsid w:val="FFFADE43"/>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Body Text Indent"/>
    <w:basedOn w:val="1"/>
    <w:next w:val="5"/>
    <w:semiHidden/>
    <w:unhideWhenUsed/>
    <w:qFormat/>
    <w:uiPriority w:val="99"/>
    <w:pPr>
      <w:spacing w:after="120"/>
      <w:ind w:left="420" w:leftChars="200"/>
    </w:pPr>
  </w:style>
  <w:style w:type="paragraph" w:styleId="5">
    <w:name w:val="Body Text First Indent 2"/>
    <w:basedOn w:val="4"/>
    <w:next w:val="6"/>
    <w:unhideWhenUsed/>
    <w:qFormat/>
    <w:uiPriority w:val="99"/>
    <w:pPr>
      <w:ind w:firstLine="420" w:firstLine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List"/>
    <w:basedOn w:val="3"/>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2">
    <w:name w:val="默认段落字体1"/>
    <w:qFormat/>
    <w:uiPriority w:val="0"/>
  </w:style>
  <w:style w:type="paragraph" w:customStyle="1" w:styleId="13">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 w:type="character" w:customStyle="1" w:styleId="15">
    <w:name w:val="font61"/>
    <w:basedOn w:val="11"/>
    <w:qFormat/>
    <w:uiPriority w:val="0"/>
    <w:rPr>
      <w:rFonts w:hint="eastAsia" w:ascii="宋体" w:hAnsi="宋体" w:eastAsia="宋体" w:cs="宋体"/>
      <w:color w:val="000000"/>
      <w:sz w:val="22"/>
      <w:szCs w:val="22"/>
      <w:u w:val="none"/>
    </w:rPr>
  </w:style>
  <w:style w:type="character" w:customStyle="1" w:styleId="16">
    <w:name w:val="font51"/>
    <w:basedOn w:val="11"/>
    <w:qFormat/>
    <w:uiPriority w:val="0"/>
    <w:rPr>
      <w:rFonts w:hint="eastAsia" w:ascii="宋体" w:hAnsi="宋体" w:eastAsia="宋体" w:cs="宋体"/>
      <w:color w:val="000000"/>
      <w:sz w:val="22"/>
      <w:szCs w:val="22"/>
      <w:u w:val="none"/>
    </w:rPr>
  </w:style>
  <w:style w:type="character" w:customStyle="1" w:styleId="17">
    <w:name w:val="font21"/>
    <w:basedOn w:val="11"/>
    <w:qFormat/>
    <w:uiPriority w:val="0"/>
    <w:rPr>
      <w:rFonts w:hint="eastAsia" w:ascii="宋体" w:hAnsi="宋体" w:eastAsia="宋体" w:cs="宋体"/>
      <w:color w:val="000000"/>
      <w:sz w:val="22"/>
      <w:szCs w:val="22"/>
      <w:u w:val="none"/>
    </w:rPr>
  </w:style>
  <w:style w:type="character" w:customStyle="1" w:styleId="18">
    <w:name w:val="font41"/>
    <w:basedOn w:val="11"/>
    <w:qFormat/>
    <w:uiPriority w:val="0"/>
    <w:rPr>
      <w:rFonts w:hint="eastAsia" w:ascii="宋体" w:hAnsi="宋体" w:eastAsia="宋体" w:cs="宋体"/>
      <w:color w:val="000000"/>
      <w:sz w:val="22"/>
      <w:szCs w:val="22"/>
      <w:u w:val="none"/>
    </w:rPr>
  </w:style>
  <w:style w:type="paragraph" w:customStyle="1" w:styleId="19">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4823</Words>
  <Characters>5177</Characters>
  <TotalTime>39</TotalTime>
  <ScaleCrop>false</ScaleCrop>
  <LinksUpToDate>false</LinksUpToDate>
  <CharactersWithSpaces>5248</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2018-12-03T09:47:00Z</dcterms:created>
  <dc:creator>admin</dc:creator>
  <cp:lastModifiedBy>修改意见</cp:lastModifiedBy>
  <cp:lastPrinted>2025-02-28T10:41:00Z</cp:lastPrinted>
  <dcterms:modified xsi:type="dcterms:W3CDTF">2025-02-28T11:42:38Z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68A86A6CF20C4C669AB86EC13C549487_13</vt:lpwstr>
  </property>
  <property fmtid="{D5CDD505-2E9C-101B-9397-08002B2CF9AE}" pid="4" name="KSOTemplateDocerSaveRecord">
    <vt:lpwstr>eyJoZGlkIjoiNjE3ZWU2MjZhZTZiNGY3MWE4YzE2ODVlMDk0ZjlhYmUiLCJ1c2VySWQiOiIyNDU4NTY5MiJ9</vt:lpwstr>
  </property>
</Properties>
</file>